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宋体" w:hAnsi="宋体"/>
          <w:sz w:val="24"/>
        </w:rPr>
      </w:pPr>
      <w:r>
        <w:rPr>
          <w:rFonts w:hint="eastAsia" w:ascii="宋体" w:hAnsi="宋体"/>
          <w:sz w:val="24"/>
        </w:rPr>
        <w:t>附件2：</w:t>
      </w:r>
    </w:p>
    <w:p>
      <w:pPr>
        <w:spacing w:line="400" w:lineRule="exact"/>
        <w:jc w:val="center"/>
        <w:outlineLvl w:val="1"/>
        <w:rPr>
          <w:rFonts w:ascii="宋体" w:hAnsi="宋体"/>
          <w:b/>
          <w:sz w:val="30"/>
          <w:szCs w:val="30"/>
        </w:rPr>
      </w:pPr>
      <w:bookmarkStart w:id="0" w:name="_Toc25114"/>
      <w:r>
        <w:rPr>
          <w:rFonts w:hint="eastAsia" w:ascii="宋体" w:hAnsi="宋体"/>
          <w:b/>
          <w:sz w:val="30"/>
          <w:szCs w:val="30"/>
        </w:rPr>
        <w:t>广东省高等职业院校人才培养工作评估实施细则</w:t>
      </w:r>
      <w:bookmarkEnd w:id="0"/>
    </w:p>
    <w:p>
      <w:pPr>
        <w:spacing w:line="400" w:lineRule="exact"/>
        <w:ind w:firstLine="480" w:firstLineChars="200"/>
        <w:jc w:val="center"/>
        <w:rPr>
          <w:rFonts w:ascii="宋体" w:hAnsi="宋体"/>
          <w:sz w:val="24"/>
        </w:rPr>
      </w:pPr>
    </w:p>
    <w:p>
      <w:pPr>
        <w:adjustRightInd w:val="0"/>
        <w:snapToGrid w:val="0"/>
        <w:spacing w:line="360" w:lineRule="auto"/>
        <w:ind w:firstLine="420" w:firstLineChars="200"/>
        <w:rPr>
          <w:rFonts w:ascii="宋体" w:hAnsi="宋体"/>
          <w:szCs w:val="21"/>
        </w:rPr>
      </w:pPr>
      <w:r>
        <w:rPr>
          <w:rFonts w:hint="eastAsia" w:ascii="宋体" w:hAnsi="宋体" w:cs="宋体"/>
          <w:kern w:val="0"/>
          <w:szCs w:val="21"/>
        </w:rPr>
        <w:t>根据《教育部关于印发&lt;高等职业院校人才培养工作评估方案&gt;的通知 》（教高〔2008〕5号）</w:t>
      </w:r>
      <w:r>
        <w:rPr>
          <w:rFonts w:hint="eastAsia" w:ascii="宋体" w:hAnsi="宋体"/>
          <w:szCs w:val="21"/>
        </w:rPr>
        <w:t>精神，为保证广东省高等职业院校人才培养工作评估顺利实施并取得实效，结合广东经济社会及高等职业教育发展实际，制定本实施细则。</w:t>
      </w:r>
    </w:p>
    <w:p>
      <w:pPr>
        <w:adjustRightInd w:val="0"/>
        <w:snapToGrid w:val="0"/>
        <w:spacing w:line="360" w:lineRule="auto"/>
        <w:ind w:firstLine="422" w:firstLineChars="200"/>
        <w:outlineLvl w:val="9"/>
        <w:rPr>
          <w:rFonts w:ascii="宋体" w:hAnsi="宋体"/>
          <w:b/>
          <w:bCs/>
          <w:szCs w:val="21"/>
        </w:rPr>
      </w:pPr>
      <w:r>
        <w:rPr>
          <w:rFonts w:hint="eastAsia" w:ascii="宋体" w:hAnsi="宋体"/>
          <w:b/>
          <w:bCs/>
          <w:szCs w:val="21"/>
        </w:rPr>
        <w:t>一、评估的目的和指导思想</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当前,广东经济社会发展正处于由以劳动密集型为主向技术、知识密集型和重化工业产业为主转变的工业化后期后半阶段；由高投入、高消耗、低效益向主要依靠科技进步、劳动力素质提高和管理创新发展的转型期。为促进广东区域经济协调发展，增强广东经济发展核心竞争力，实现广东从经济大省向经济强省、从人口大省向人力资源强省转变的战略目标，广东省委、省政府提出全面推进产业和劳动力的“双转移”战略。这要求我省职业技术教育尤其是高等职业教育的发展必须与经济社会发展相协调，与劳动力资源配置相适应。因此，必须继续大力发展高等职业教育，以就业为导向，以服务为宗旨，走产学相结合的人才培养道路，加快高职教育改革，提高人才培养质量，使我省高等职业教育为广东实现“双转移”战略提供高技能人才保障。</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开展高等职业院校人才培养工作评估的目的，是促进我省高职高专院校主动适应社会经济发展新要求，加强内涵建设，深化校企合作、工学结合人才培养模式改革，加强教学基本建设和规范管理；充分运用现代信息技术建立省、学校二级高等职业院校人才培养工作状态数据采集平台，推动高等职业院校管理模式的改革，逐步形成以学校为核心、教育行政部门为引导、社会参与的教学质量保障体系，促进我省高等职业教育持续、稳定、健康发展。</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我省高等职业院校人才培养工作评估要按照高等职业教育“以服务为宗旨，以就业为导向，走校企合作、产学结合发展道路”的办学要求，坚持“以评促建、以评促改、以评促管、评建结合、重在建设”的方针，切实落实《教育部关于全面提高高等职业教育教学质量的若干意见》(教高〔2006〕16号)、广东省教育厅《关于进一步提高广东省高等职业教育教学质量的意见》（粤教高〔2007〕102号）精神，强调评与被评双方平等交流，共同发现问题、分析问题，共同探讨解决问题的办法，注重实际成效，引导学校把工作重心放到内涵建设上来，促进学校加强教学基本建设和规范管理。</w:t>
      </w:r>
    </w:p>
    <w:p>
      <w:pPr>
        <w:adjustRightInd w:val="0"/>
        <w:snapToGrid w:val="0"/>
        <w:spacing w:line="360" w:lineRule="auto"/>
        <w:ind w:firstLine="422" w:firstLineChars="200"/>
        <w:outlineLvl w:val="9"/>
        <w:rPr>
          <w:rFonts w:ascii="宋体" w:hAnsi="宋体" w:cs="仿宋_GB2312"/>
          <w:b/>
          <w:kern w:val="0"/>
          <w:szCs w:val="21"/>
        </w:rPr>
      </w:pPr>
      <w:r>
        <w:rPr>
          <w:rFonts w:hint="eastAsia" w:ascii="宋体" w:hAnsi="宋体" w:cs="仿宋_GB2312"/>
          <w:b/>
          <w:kern w:val="0"/>
          <w:szCs w:val="21"/>
        </w:rPr>
        <w:t>二、评估工作的基本任务</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除了按照教育部教高〔2008〕5号文规定的评估基本任务外，我省还将把高等职业院校人才培养工作状态数据采集平台的建设作为一项重要任务，作为促进学校管理方式变革的重要手段，提高学校教学管理效率，建立教学质量保障的长效机制。从2008年起，我省将全面执行《高等职业院校人才培养工作评估方案》，已有3届毕业生并且未接受过评估的独立设置高职高专院校必须在2010年之前接受评估。</w:t>
      </w:r>
    </w:p>
    <w:p>
      <w:pPr>
        <w:adjustRightInd w:val="0"/>
        <w:snapToGrid w:val="0"/>
        <w:spacing w:line="360" w:lineRule="auto"/>
        <w:ind w:firstLine="422" w:firstLineChars="200"/>
        <w:outlineLvl w:val="9"/>
        <w:rPr>
          <w:rFonts w:hint="eastAsia" w:ascii="宋体" w:hAnsi="宋体" w:cs="仿宋_GB2312"/>
          <w:b/>
          <w:kern w:val="0"/>
          <w:szCs w:val="21"/>
        </w:rPr>
      </w:pPr>
      <w:r>
        <w:rPr>
          <w:rFonts w:hint="eastAsia" w:ascii="宋体" w:hAnsi="宋体" w:cs="仿宋_GB2312"/>
          <w:b/>
          <w:kern w:val="0"/>
          <w:szCs w:val="21"/>
        </w:rPr>
        <w:t>三、评估原则</w:t>
      </w:r>
    </w:p>
    <w:p>
      <w:pPr>
        <w:adjustRightInd w:val="0"/>
        <w:snapToGrid w:val="0"/>
        <w:spacing w:line="360" w:lineRule="auto"/>
        <w:ind w:firstLine="420" w:firstLineChars="200"/>
        <w:rPr>
          <w:rFonts w:ascii="宋体" w:hAnsi="宋体" w:cs="宋体"/>
          <w:color w:val="FF0000"/>
          <w:kern w:val="0"/>
          <w:szCs w:val="21"/>
        </w:rPr>
      </w:pPr>
      <w:r>
        <w:rPr>
          <w:rFonts w:hint="eastAsia" w:ascii="宋体" w:hAnsi="宋体" w:cs="宋体"/>
          <w:kern w:val="0"/>
          <w:szCs w:val="21"/>
        </w:rPr>
        <w:t>在坚持《高等职业院校人才培养工作评估方案》提出的评估原则基础上，结合我省实际，强调以下原则：</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分类指导原则。对于已接受过评估的院校，重点指导学校建立高等职业院校人才培养工作状态数据采集平台，深化内涵建设，提高管理效能，完善自我约束、自我发展的质量保障机制；对于尚未接受过评估的学校，重点通过评估之前的申请评估基本条件核查促使学校加大投入，明确办学定位，规范管理，加强基本建设，做好评建工作。</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自主、创新、开放原则。学校要结合本校实际，自主建立和完善学校人才培养质量保障机制。专家组在评估过程中，要根据每所学校的具体情况，创新评估方式、手段，要将评估过程、学校人才培养过程及时向社会公布，简化工作程序，减轻学校负担，提高工作效率，不影响学校正常教学秩序。</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3.灵活性与针对性原则。在高等职业院校人才培养工作评估指标体系总体框架下，引导学校通过建立高等职业院校人才培养工作状态数据采集平台，</w:t>
      </w:r>
      <w:r>
        <w:rPr>
          <w:rFonts w:hint="eastAsia" w:ascii="宋体" w:hAnsi="宋体"/>
          <w:szCs w:val="21"/>
        </w:rPr>
        <w:t>自下而上形成基本数据，强调从源头采集并使用数据，确保数据的原始性、真实性和即时性，专家通过数据发现问题，根据不同的学校存在的不同问题有针对性地提出解决问题的意见和建议，增加评估的“灵气”。</w:t>
      </w:r>
    </w:p>
    <w:p>
      <w:pPr>
        <w:adjustRightInd w:val="0"/>
        <w:snapToGrid w:val="0"/>
        <w:spacing w:line="360" w:lineRule="auto"/>
        <w:ind w:firstLine="413" w:firstLineChars="196"/>
        <w:rPr>
          <w:rFonts w:ascii="宋体" w:hAnsi="宋体"/>
          <w:b/>
          <w:szCs w:val="21"/>
        </w:rPr>
      </w:pPr>
      <w:r>
        <w:rPr>
          <w:rFonts w:hint="eastAsia" w:ascii="宋体" w:hAnsi="宋体" w:cs="仿宋_GB2312"/>
          <w:b/>
          <w:kern w:val="0"/>
          <w:szCs w:val="21"/>
        </w:rPr>
        <w:t>四、</w:t>
      </w:r>
      <w:r>
        <w:rPr>
          <w:rFonts w:hint="eastAsia" w:ascii="宋体" w:hAnsi="宋体"/>
          <w:b/>
          <w:szCs w:val="21"/>
        </w:rPr>
        <w:t>申请</w:t>
      </w:r>
      <w:r>
        <w:rPr>
          <w:rFonts w:hint="eastAsia" w:ascii="宋体" w:hAnsi="宋体" w:cs="仿宋_GB2312"/>
          <w:b/>
          <w:kern w:val="0"/>
          <w:szCs w:val="21"/>
        </w:rPr>
        <w:t>评估</w:t>
      </w:r>
      <w:r>
        <w:rPr>
          <w:rFonts w:hint="eastAsia" w:ascii="宋体" w:hAnsi="宋体"/>
          <w:b/>
          <w:szCs w:val="21"/>
        </w:rPr>
        <w:t>的基本条件</w:t>
      </w:r>
    </w:p>
    <w:p>
      <w:pPr>
        <w:adjustRightInd w:val="0"/>
        <w:snapToGrid w:val="0"/>
        <w:spacing w:line="360" w:lineRule="auto"/>
        <w:ind w:firstLine="420" w:firstLineChars="200"/>
        <w:rPr>
          <w:rFonts w:ascii="宋体" w:hAnsi="宋体"/>
          <w:szCs w:val="21"/>
        </w:rPr>
      </w:pPr>
      <w:r>
        <w:rPr>
          <w:rFonts w:hint="eastAsia" w:ascii="宋体" w:hAnsi="宋体"/>
          <w:szCs w:val="21"/>
        </w:rPr>
        <w:t>我省高职高专院校自有毕业生起至有3届毕业生前必须参加一次人才培养工作评估，但生师比须达到普通高等学校基本办学条件并符合以下1－3项所列条件：</w:t>
      </w:r>
    </w:p>
    <w:p>
      <w:pPr>
        <w:adjustRightInd w:val="0"/>
        <w:snapToGrid w:val="0"/>
        <w:spacing w:line="360" w:lineRule="auto"/>
        <w:ind w:firstLine="464" w:firstLineChars="221"/>
        <w:rPr>
          <w:rFonts w:ascii="宋体" w:hAnsi="宋体"/>
          <w:szCs w:val="21"/>
        </w:rPr>
      </w:pPr>
      <w:r>
        <w:rPr>
          <w:rFonts w:hint="eastAsia" w:ascii="宋体" w:hAnsi="宋体"/>
          <w:szCs w:val="21"/>
        </w:rPr>
        <w:t>1.独立设置的高职高专院校，并达到教育部《普通高等学校基本办学条件指标（试行）》（教发〔2004〕2号）设定的标准；</w:t>
      </w:r>
    </w:p>
    <w:p>
      <w:pPr>
        <w:adjustRightInd w:val="0"/>
        <w:snapToGrid w:val="0"/>
        <w:spacing w:line="360" w:lineRule="auto"/>
        <w:ind w:firstLine="464" w:firstLineChars="221"/>
        <w:rPr>
          <w:rFonts w:ascii="宋体" w:hAnsi="宋体"/>
          <w:szCs w:val="21"/>
        </w:rPr>
      </w:pPr>
      <w:r>
        <w:rPr>
          <w:rFonts w:hint="eastAsia" w:ascii="宋体" w:hAnsi="宋体"/>
          <w:szCs w:val="21"/>
        </w:rPr>
        <w:t>2.核算教师总数时，兼职教师等非专任教师数按每学年授课160学时为1名教师计算，专兼教师之比无限制；</w:t>
      </w:r>
    </w:p>
    <w:p>
      <w:pPr>
        <w:adjustRightInd w:val="0"/>
        <w:snapToGrid w:val="0"/>
        <w:spacing w:line="360" w:lineRule="auto"/>
        <w:ind w:firstLine="420" w:firstLineChars="200"/>
        <w:rPr>
          <w:rFonts w:ascii="宋体" w:hAnsi="宋体"/>
          <w:szCs w:val="21"/>
        </w:rPr>
      </w:pPr>
      <w:r>
        <w:rPr>
          <w:rFonts w:hint="eastAsia" w:ascii="宋体" w:hAnsi="宋体"/>
          <w:szCs w:val="21"/>
        </w:rPr>
        <w:t>3.实验、实习、实训场所（含合作共建）及附属用房生均占有面积（平方米/生）达到下表要求：</w:t>
      </w:r>
    </w:p>
    <w:tbl>
      <w:tblPr>
        <w:tblStyle w:val="5"/>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24"/>
        <w:gridCol w:w="1224"/>
        <w:gridCol w:w="1225"/>
        <w:gridCol w:w="1225"/>
        <w:gridCol w:w="1225"/>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Align w:val="center"/>
          </w:tcPr>
          <w:p>
            <w:pPr>
              <w:adjustRightInd w:val="0"/>
              <w:snapToGrid w:val="0"/>
              <w:spacing w:line="360" w:lineRule="auto"/>
              <w:jc w:val="center"/>
              <w:rPr>
                <w:rFonts w:ascii="宋体" w:hAnsi="宋体"/>
                <w:bCs/>
                <w:szCs w:val="21"/>
              </w:rPr>
            </w:pPr>
            <w:r>
              <w:rPr>
                <w:rFonts w:hint="eastAsia" w:ascii="宋体" w:hAnsi="宋体"/>
                <w:bCs/>
                <w:szCs w:val="21"/>
              </w:rPr>
              <w:t>学校</w:t>
            </w:r>
          </w:p>
          <w:p>
            <w:pPr>
              <w:adjustRightInd w:val="0"/>
              <w:snapToGrid w:val="0"/>
              <w:spacing w:line="360" w:lineRule="auto"/>
              <w:jc w:val="center"/>
              <w:rPr>
                <w:rFonts w:ascii="宋体" w:hAnsi="宋体"/>
                <w:bCs/>
                <w:szCs w:val="21"/>
              </w:rPr>
            </w:pPr>
            <w:r>
              <w:rPr>
                <w:rFonts w:hint="eastAsia" w:ascii="宋体" w:hAnsi="宋体"/>
                <w:bCs/>
                <w:szCs w:val="21"/>
              </w:rPr>
              <w:t>类别</w:t>
            </w:r>
          </w:p>
        </w:tc>
        <w:tc>
          <w:tcPr>
            <w:tcW w:w="1224" w:type="dxa"/>
            <w:vAlign w:val="center"/>
          </w:tcPr>
          <w:p>
            <w:pPr>
              <w:adjustRightInd w:val="0"/>
              <w:snapToGrid w:val="0"/>
              <w:spacing w:line="360" w:lineRule="auto"/>
              <w:jc w:val="center"/>
              <w:rPr>
                <w:rFonts w:ascii="宋体" w:hAnsi="宋体"/>
                <w:szCs w:val="21"/>
              </w:rPr>
            </w:pPr>
            <w:r>
              <w:rPr>
                <w:rFonts w:hint="eastAsia" w:ascii="宋体" w:hAnsi="宋体"/>
                <w:szCs w:val="21"/>
              </w:rPr>
              <w:t>综合、师范、民族</w:t>
            </w:r>
          </w:p>
          <w:p>
            <w:pPr>
              <w:adjustRightInd w:val="0"/>
              <w:snapToGrid w:val="0"/>
              <w:spacing w:line="360" w:lineRule="auto"/>
              <w:jc w:val="center"/>
              <w:rPr>
                <w:rFonts w:ascii="宋体" w:hAnsi="宋体"/>
                <w:szCs w:val="21"/>
              </w:rPr>
            </w:pPr>
            <w:r>
              <w:rPr>
                <w:rFonts w:hint="eastAsia" w:ascii="宋体" w:hAnsi="宋体"/>
                <w:szCs w:val="21"/>
              </w:rPr>
              <w:t>类院校</w:t>
            </w:r>
          </w:p>
        </w:tc>
        <w:tc>
          <w:tcPr>
            <w:tcW w:w="1224" w:type="dxa"/>
            <w:vAlign w:val="center"/>
          </w:tcPr>
          <w:p>
            <w:pPr>
              <w:adjustRightInd w:val="0"/>
              <w:snapToGrid w:val="0"/>
              <w:spacing w:line="360" w:lineRule="auto"/>
              <w:jc w:val="center"/>
              <w:rPr>
                <w:rFonts w:ascii="宋体" w:hAnsi="宋体"/>
                <w:szCs w:val="21"/>
              </w:rPr>
            </w:pPr>
            <w:r>
              <w:rPr>
                <w:rFonts w:hint="eastAsia" w:ascii="宋体" w:hAnsi="宋体"/>
                <w:szCs w:val="21"/>
              </w:rPr>
              <w:t>工科类</w:t>
            </w:r>
          </w:p>
          <w:p>
            <w:pPr>
              <w:adjustRightInd w:val="0"/>
              <w:snapToGrid w:val="0"/>
              <w:spacing w:line="360" w:lineRule="auto"/>
              <w:jc w:val="center"/>
              <w:rPr>
                <w:rFonts w:ascii="宋体" w:hAnsi="宋体"/>
                <w:szCs w:val="21"/>
              </w:rPr>
            </w:pPr>
            <w:r>
              <w:rPr>
                <w:rFonts w:hint="eastAsia" w:ascii="宋体" w:hAnsi="宋体"/>
                <w:szCs w:val="21"/>
              </w:rPr>
              <w:t>院校</w:t>
            </w:r>
          </w:p>
        </w:tc>
        <w:tc>
          <w:tcPr>
            <w:tcW w:w="1225" w:type="dxa"/>
            <w:vAlign w:val="center"/>
          </w:tcPr>
          <w:p>
            <w:pPr>
              <w:adjustRightInd w:val="0"/>
              <w:snapToGrid w:val="0"/>
              <w:spacing w:line="360" w:lineRule="auto"/>
              <w:jc w:val="center"/>
              <w:rPr>
                <w:rFonts w:ascii="宋体" w:hAnsi="宋体"/>
                <w:szCs w:val="21"/>
              </w:rPr>
            </w:pPr>
            <w:r>
              <w:rPr>
                <w:rFonts w:hint="eastAsia" w:ascii="宋体" w:hAnsi="宋体"/>
                <w:szCs w:val="21"/>
              </w:rPr>
              <w:t>农林类</w:t>
            </w:r>
          </w:p>
          <w:p>
            <w:pPr>
              <w:adjustRightInd w:val="0"/>
              <w:snapToGrid w:val="0"/>
              <w:spacing w:line="360" w:lineRule="auto"/>
              <w:jc w:val="center"/>
              <w:rPr>
                <w:rFonts w:ascii="宋体" w:hAnsi="宋体"/>
                <w:szCs w:val="21"/>
              </w:rPr>
            </w:pPr>
            <w:r>
              <w:rPr>
                <w:rFonts w:hint="eastAsia" w:ascii="宋体" w:hAnsi="宋体"/>
                <w:szCs w:val="21"/>
              </w:rPr>
              <w:t>院校</w:t>
            </w:r>
          </w:p>
        </w:tc>
        <w:tc>
          <w:tcPr>
            <w:tcW w:w="1225" w:type="dxa"/>
            <w:vAlign w:val="center"/>
          </w:tcPr>
          <w:p>
            <w:pPr>
              <w:adjustRightInd w:val="0"/>
              <w:snapToGrid w:val="0"/>
              <w:spacing w:line="360" w:lineRule="auto"/>
              <w:jc w:val="center"/>
              <w:rPr>
                <w:rFonts w:ascii="宋体" w:hAnsi="宋体"/>
                <w:szCs w:val="21"/>
              </w:rPr>
            </w:pPr>
            <w:r>
              <w:rPr>
                <w:rFonts w:hint="eastAsia" w:ascii="宋体" w:hAnsi="宋体"/>
                <w:szCs w:val="21"/>
              </w:rPr>
              <w:t>医学类</w:t>
            </w:r>
          </w:p>
          <w:p>
            <w:pPr>
              <w:adjustRightInd w:val="0"/>
              <w:snapToGrid w:val="0"/>
              <w:spacing w:line="360" w:lineRule="auto"/>
              <w:jc w:val="center"/>
              <w:rPr>
                <w:rFonts w:ascii="宋体" w:hAnsi="宋体"/>
                <w:szCs w:val="21"/>
              </w:rPr>
            </w:pPr>
            <w:r>
              <w:rPr>
                <w:rFonts w:hint="eastAsia" w:ascii="宋体" w:hAnsi="宋体"/>
                <w:szCs w:val="21"/>
              </w:rPr>
              <w:t>院校</w:t>
            </w:r>
          </w:p>
        </w:tc>
        <w:tc>
          <w:tcPr>
            <w:tcW w:w="1225" w:type="dxa"/>
            <w:vAlign w:val="center"/>
          </w:tcPr>
          <w:p>
            <w:pPr>
              <w:adjustRightInd w:val="0"/>
              <w:snapToGrid w:val="0"/>
              <w:spacing w:line="360" w:lineRule="auto"/>
              <w:jc w:val="center"/>
              <w:rPr>
                <w:rFonts w:ascii="宋体" w:hAnsi="宋体"/>
                <w:szCs w:val="21"/>
              </w:rPr>
            </w:pPr>
            <w:r>
              <w:rPr>
                <w:rFonts w:hint="eastAsia" w:ascii="宋体" w:hAnsi="宋体"/>
                <w:szCs w:val="21"/>
              </w:rPr>
              <w:t>财经、政法类院校</w:t>
            </w:r>
          </w:p>
        </w:tc>
        <w:tc>
          <w:tcPr>
            <w:tcW w:w="1225" w:type="dxa"/>
            <w:vAlign w:val="center"/>
          </w:tcPr>
          <w:p>
            <w:pPr>
              <w:adjustRightInd w:val="0"/>
              <w:snapToGrid w:val="0"/>
              <w:spacing w:line="360" w:lineRule="auto"/>
              <w:jc w:val="center"/>
              <w:rPr>
                <w:rFonts w:ascii="宋体" w:hAnsi="宋体"/>
                <w:szCs w:val="21"/>
              </w:rPr>
            </w:pPr>
            <w:r>
              <w:rPr>
                <w:rFonts w:hint="eastAsia" w:ascii="宋体" w:hAnsi="宋体"/>
                <w:szCs w:val="21"/>
              </w:rPr>
              <w:t>体育、艺术类院校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368" w:type="dxa"/>
            <w:vAlign w:val="center"/>
          </w:tcPr>
          <w:p>
            <w:pPr>
              <w:adjustRightInd w:val="0"/>
              <w:snapToGrid w:val="0"/>
              <w:spacing w:line="360" w:lineRule="auto"/>
              <w:jc w:val="center"/>
              <w:rPr>
                <w:rFonts w:ascii="宋体" w:hAnsi="宋体"/>
                <w:bCs/>
                <w:szCs w:val="21"/>
              </w:rPr>
            </w:pPr>
            <w:r>
              <w:rPr>
                <w:rFonts w:hint="eastAsia" w:ascii="宋体" w:hAnsi="宋体"/>
                <w:bCs/>
                <w:szCs w:val="21"/>
              </w:rPr>
              <w:t>生均面积</w:t>
            </w:r>
          </w:p>
        </w:tc>
        <w:tc>
          <w:tcPr>
            <w:tcW w:w="1224" w:type="dxa"/>
            <w:vAlign w:val="center"/>
          </w:tcPr>
          <w:p>
            <w:pPr>
              <w:adjustRightInd w:val="0"/>
              <w:snapToGrid w:val="0"/>
              <w:spacing w:line="360" w:lineRule="auto"/>
              <w:jc w:val="center"/>
              <w:rPr>
                <w:rFonts w:ascii="宋体" w:hAnsi="宋体"/>
                <w:szCs w:val="21"/>
              </w:rPr>
            </w:pPr>
            <w:r>
              <w:rPr>
                <w:rFonts w:hint="eastAsia" w:ascii="宋体" w:hAnsi="宋体"/>
                <w:szCs w:val="21"/>
              </w:rPr>
              <w:t>5.30</w:t>
            </w:r>
          </w:p>
        </w:tc>
        <w:tc>
          <w:tcPr>
            <w:tcW w:w="1224" w:type="dxa"/>
            <w:vAlign w:val="center"/>
          </w:tcPr>
          <w:p>
            <w:pPr>
              <w:adjustRightInd w:val="0"/>
              <w:snapToGrid w:val="0"/>
              <w:spacing w:line="360" w:lineRule="auto"/>
              <w:jc w:val="center"/>
              <w:rPr>
                <w:rFonts w:ascii="宋体" w:hAnsi="宋体"/>
                <w:szCs w:val="21"/>
              </w:rPr>
            </w:pPr>
            <w:r>
              <w:rPr>
                <w:rFonts w:hint="eastAsia" w:ascii="宋体" w:hAnsi="宋体"/>
                <w:szCs w:val="21"/>
              </w:rPr>
              <w:t>8.30</w:t>
            </w:r>
          </w:p>
        </w:tc>
        <w:tc>
          <w:tcPr>
            <w:tcW w:w="1225" w:type="dxa"/>
            <w:vAlign w:val="center"/>
          </w:tcPr>
          <w:p>
            <w:pPr>
              <w:adjustRightInd w:val="0"/>
              <w:snapToGrid w:val="0"/>
              <w:spacing w:line="360" w:lineRule="auto"/>
              <w:jc w:val="center"/>
              <w:rPr>
                <w:rFonts w:ascii="宋体" w:hAnsi="宋体"/>
                <w:szCs w:val="21"/>
              </w:rPr>
            </w:pPr>
            <w:r>
              <w:rPr>
                <w:rFonts w:hint="eastAsia" w:ascii="宋体" w:hAnsi="宋体"/>
                <w:szCs w:val="21"/>
              </w:rPr>
              <w:t>8.80</w:t>
            </w:r>
          </w:p>
        </w:tc>
        <w:tc>
          <w:tcPr>
            <w:tcW w:w="1225" w:type="dxa"/>
            <w:vAlign w:val="center"/>
          </w:tcPr>
          <w:p>
            <w:pPr>
              <w:adjustRightInd w:val="0"/>
              <w:snapToGrid w:val="0"/>
              <w:spacing w:line="360" w:lineRule="auto"/>
              <w:jc w:val="center"/>
              <w:rPr>
                <w:rFonts w:ascii="宋体" w:hAnsi="宋体"/>
                <w:szCs w:val="21"/>
              </w:rPr>
            </w:pPr>
            <w:r>
              <w:rPr>
                <w:rFonts w:hint="eastAsia" w:ascii="宋体" w:hAnsi="宋体"/>
                <w:szCs w:val="21"/>
              </w:rPr>
              <w:t>9.00</w:t>
            </w:r>
          </w:p>
        </w:tc>
        <w:tc>
          <w:tcPr>
            <w:tcW w:w="1225" w:type="dxa"/>
            <w:vAlign w:val="center"/>
          </w:tcPr>
          <w:p>
            <w:pPr>
              <w:adjustRightInd w:val="0"/>
              <w:snapToGrid w:val="0"/>
              <w:spacing w:line="360" w:lineRule="auto"/>
              <w:jc w:val="center"/>
              <w:rPr>
                <w:rFonts w:ascii="宋体" w:hAnsi="宋体"/>
                <w:szCs w:val="21"/>
              </w:rPr>
            </w:pPr>
            <w:r>
              <w:rPr>
                <w:rFonts w:hint="eastAsia" w:ascii="宋体" w:hAnsi="宋体"/>
                <w:szCs w:val="21"/>
              </w:rPr>
              <w:t>1.05</w:t>
            </w:r>
          </w:p>
        </w:tc>
        <w:tc>
          <w:tcPr>
            <w:tcW w:w="1225" w:type="dxa"/>
            <w:vAlign w:val="center"/>
          </w:tcPr>
          <w:p>
            <w:pPr>
              <w:adjustRightInd w:val="0"/>
              <w:snapToGrid w:val="0"/>
              <w:spacing w:line="360" w:lineRule="auto"/>
              <w:jc w:val="center"/>
              <w:rPr>
                <w:rFonts w:ascii="宋体" w:hAnsi="宋体"/>
                <w:szCs w:val="21"/>
              </w:rPr>
            </w:pPr>
            <w:r>
              <w:rPr>
                <w:rFonts w:hint="eastAsia" w:ascii="宋体" w:hAnsi="宋体"/>
                <w:szCs w:val="21"/>
              </w:rPr>
              <w:t>1.85</w:t>
            </w:r>
          </w:p>
        </w:tc>
      </w:tr>
    </w:tbl>
    <w:p>
      <w:pPr>
        <w:adjustRightInd w:val="0"/>
        <w:snapToGrid w:val="0"/>
        <w:spacing w:line="360" w:lineRule="auto"/>
        <w:ind w:firstLine="420" w:firstLineChars="200"/>
        <w:rPr>
          <w:rFonts w:ascii="宋体" w:hAnsi="宋体" w:cs="宋体-方正超大字符集"/>
          <w:szCs w:val="21"/>
        </w:rPr>
      </w:pPr>
      <w:r>
        <w:rPr>
          <w:rFonts w:hint="eastAsia" w:ascii="宋体" w:hAnsi="宋体"/>
          <w:szCs w:val="21"/>
        </w:rPr>
        <w:t>4</w:t>
      </w:r>
      <w:r>
        <w:rPr>
          <w:rFonts w:hint="eastAsia" w:ascii="宋体" w:hAnsi="宋体" w:cs="宋体-方正超大字符集"/>
          <w:szCs w:val="21"/>
        </w:rPr>
        <w:t>.不具备申请评估条件的院校，应尽快加大投入，在有5届毕业生前须达到基本办学条件，参加一次人才培养工作评估。凡有三届（含三届）以上毕业生尚未接受过评估的高职高专院校，必须做好准备，安排好计划，在2009年6月之前接受评估；仍不具备评估条件的院校，省教育厅将在其有3届毕业生后、首次参加人才培养工作评估前，按照每年递减10－20％的比例逐年减少其招生计划；有5届毕业生但没有接受过评估的院校，省教育厅将在其符合申请评估基本条件接受评估前按照每年递</w:t>
      </w:r>
      <w:r>
        <w:rPr>
          <w:rFonts w:hint="eastAsia" w:ascii="宋体" w:hAnsi="宋体" w:cs="宋体-方正超大字符集"/>
          <w:color w:val="000000"/>
          <w:szCs w:val="21"/>
        </w:rPr>
        <w:t>减50％的</w:t>
      </w:r>
      <w:r>
        <w:rPr>
          <w:rFonts w:hint="eastAsia" w:ascii="宋体" w:hAnsi="宋体" w:cs="宋体-方正超大字符集"/>
          <w:szCs w:val="21"/>
        </w:rPr>
        <w:t>比例逐年减少其招生计划。</w:t>
      </w:r>
    </w:p>
    <w:p>
      <w:pPr>
        <w:adjustRightInd w:val="0"/>
        <w:snapToGrid w:val="0"/>
        <w:spacing w:line="360" w:lineRule="auto"/>
        <w:ind w:firstLine="413" w:firstLineChars="196"/>
        <w:rPr>
          <w:rFonts w:ascii="宋体" w:hAnsi="宋体"/>
          <w:b/>
          <w:bCs/>
          <w:szCs w:val="21"/>
        </w:rPr>
      </w:pPr>
      <w:r>
        <w:rPr>
          <w:rFonts w:hint="eastAsia" w:ascii="宋体" w:hAnsi="宋体"/>
          <w:b/>
          <w:bCs/>
          <w:szCs w:val="21"/>
        </w:rPr>
        <w:t>五、评估指标体系</w:t>
      </w:r>
    </w:p>
    <w:p>
      <w:pPr>
        <w:adjustRightInd w:val="0"/>
        <w:snapToGrid w:val="0"/>
        <w:spacing w:line="360" w:lineRule="auto"/>
        <w:rPr>
          <w:rFonts w:ascii="宋体" w:hAnsi="宋体"/>
          <w:szCs w:val="21"/>
        </w:rPr>
      </w:pPr>
      <w:r>
        <w:rPr>
          <w:rFonts w:hint="eastAsia" w:ascii="宋体" w:hAnsi="宋体"/>
          <w:szCs w:val="21"/>
        </w:rPr>
        <w:t xml:space="preserve">    采用教育部下发的高等职业院校人才培养工作评估指标体系，并将其中“</w:t>
      </w:r>
      <w:r>
        <w:rPr>
          <w:rFonts w:hint="eastAsia" w:ascii="宋体" w:hAnsi="宋体"/>
          <w:b/>
          <w:szCs w:val="21"/>
        </w:rPr>
        <w:t>1.2办学目标与定位</w:t>
      </w:r>
      <w:r>
        <w:rPr>
          <w:rFonts w:hint="eastAsia" w:ascii="宋体" w:hAnsi="宋体"/>
          <w:szCs w:val="21"/>
        </w:rPr>
        <w:t>，</w:t>
      </w:r>
      <w:r>
        <w:rPr>
          <w:rFonts w:hint="eastAsia" w:ascii="宋体" w:hAnsi="宋体"/>
          <w:b/>
          <w:szCs w:val="21"/>
        </w:rPr>
        <w:t>2.1专任教师</w:t>
      </w:r>
      <w:r>
        <w:rPr>
          <w:rFonts w:hint="eastAsia" w:ascii="宋体" w:hAnsi="宋体"/>
          <w:szCs w:val="21"/>
        </w:rPr>
        <w:t>，</w:t>
      </w:r>
      <w:r>
        <w:rPr>
          <w:rFonts w:hint="eastAsia" w:ascii="宋体" w:hAnsi="宋体"/>
          <w:b/>
          <w:szCs w:val="21"/>
        </w:rPr>
        <w:t>3.1课程内容</w:t>
      </w:r>
      <w:r>
        <w:rPr>
          <w:rFonts w:hint="eastAsia" w:ascii="宋体" w:hAnsi="宋体"/>
          <w:szCs w:val="21"/>
        </w:rPr>
        <w:t>，</w:t>
      </w:r>
      <w:r>
        <w:rPr>
          <w:rFonts w:hint="eastAsia" w:ascii="宋体" w:hAnsi="宋体"/>
          <w:b/>
          <w:szCs w:val="21"/>
        </w:rPr>
        <w:t>4.1顶岗实习</w:t>
      </w:r>
      <w:r>
        <w:rPr>
          <w:rFonts w:hint="eastAsia" w:ascii="宋体" w:hAnsi="宋体"/>
          <w:szCs w:val="21"/>
        </w:rPr>
        <w:t>，</w:t>
      </w:r>
      <w:r>
        <w:rPr>
          <w:rFonts w:hint="eastAsia" w:ascii="宋体" w:hAnsi="宋体"/>
          <w:b/>
          <w:szCs w:val="21"/>
        </w:rPr>
        <w:t>4.4实践教学条件</w:t>
      </w:r>
      <w:r>
        <w:rPr>
          <w:rFonts w:hint="eastAsia" w:ascii="宋体" w:hAnsi="宋体"/>
          <w:szCs w:val="21"/>
        </w:rPr>
        <w:t>，</w:t>
      </w:r>
      <w:r>
        <w:rPr>
          <w:rFonts w:hint="eastAsia" w:ascii="宋体" w:hAnsi="宋体"/>
          <w:b/>
          <w:szCs w:val="21"/>
        </w:rPr>
        <w:t>4.5双证书获取</w:t>
      </w:r>
      <w:r>
        <w:rPr>
          <w:rFonts w:hint="eastAsia" w:ascii="宋体" w:hAnsi="宋体"/>
          <w:szCs w:val="21"/>
        </w:rPr>
        <w:t>，</w:t>
      </w:r>
      <w:r>
        <w:rPr>
          <w:rFonts w:hint="eastAsia" w:ascii="宋体" w:hAnsi="宋体"/>
          <w:b/>
          <w:szCs w:val="21"/>
        </w:rPr>
        <w:t>6.3质量监控</w:t>
      </w:r>
      <w:r>
        <w:rPr>
          <w:rFonts w:hint="eastAsia" w:ascii="宋体" w:hAnsi="宋体"/>
          <w:szCs w:val="21"/>
        </w:rPr>
        <w:t>，</w:t>
      </w:r>
      <w:r>
        <w:rPr>
          <w:rFonts w:hint="eastAsia" w:ascii="宋体" w:hAnsi="宋体"/>
          <w:b/>
          <w:szCs w:val="21"/>
        </w:rPr>
        <w:t>7.2就业</w:t>
      </w:r>
      <w:r>
        <w:rPr>
          <w:rFonts w:hint="eastAsia" w:ascii="宋体" w:hAnsi="宋体"/>
          <w:szCs w:val="21"/>
        </w:rPr>
        <w:t>”共8个关键评估要素列为重点评估要素，以充分发挥评估的内涵建设导向。</w:t>
      </w:r>
    </w:p>
    <w:p>
      <w:pPr>
        <w:adjustRightInd w:val="0"/>
        <w:snapToGrid w:val="0"/>
        <w:spacing w:line="360" w:lineRule="auto"/>
        <w:ind w:firstLine="413" w:firstLineChars="196"/>
        <w:rPr>
          <w:rFonts w:ascii="宋体" w:hAnsi="宋体"/>
          <w:b/>
          <w:bCs/>
          <w:szCs w:val="21"/>
        </w:rPr>
      </w:pPr>
      <w:r>
        <w:rPr>
          <w:rFonts w:hint="eastAsia" w:ascii="宋体" w:hAnsi="宋体"/>
          <w:b/>
          <w:bCs/>
          <w:szCs w:val="21"/>
        </w:rPr>
        <w:t>六、评估结论</w:t>
      </w:r>
    </w:p>
    <w:p>
      <w:pPr>
        <w:adjustRightInd w:val="0"/>
        <w:snapToGrid w:val="0"/>
        <w:spacing w:line="360" w:lineRule="auto"/>
        <w:ind w:firstLine="420" w:firstLineChars="200"/>
        <w:rPr>
          <w:rFonts w:ascii="宋体" w:hAnsi="宋体"/>
          <w:szCs w:val="21"/>
        </w:rPr>
      </w:pPr>
      <w:r>
        <w:rPr>
          <w:rFonts w:hint="eastAsia" w:ascii="宋体" w:hAnsi="宋体"/>
          <w:szCs w:val="21"/>
        </w:rPr>
        <w:t>本评估指标体系共7项主要评估指标、22项关键评估要素，其中重点评估要素8项。关键评估要素的评定等级为“合格”和“不合格”；若主要评估指标下的一半以上关键评估要素评定等级为“不合格”，则该主要评估指标评定等级为“不合格”。</w:t>
      </w:r>
    </w:p>
    <w:p>
      <w:pPr>
        <w:pStyle w:val="3"/>
        <w:adjustRightInd w:val="0"/>
        <w:snapToGrid w:val="0"/>
        <w:spacing w:after="0" w:line="360" w:lineRule="auto"/>
        <w:ind w:left="0" w:leftChars="0" w:firstLine="560"/>
        <w:rPr>
          <w:rFonts w:ascii="宋体" w:hAnsi="宋体"/>
          <w:szCs w:val="21"/>
        </w:rPr>
      </w:pPr>
      <w:r>
        <w:rPr>
          <w:rFonts w:hint="eastAsia" w:ascii="宋体" w:hAnsi="宋体"/>
          <w:szCs w:val="21"/>
        </w:rPr>
        <w:t>评估结论分为“通过”和“暂缓通过”两种，其标准如下：</w:t>
      </w:r>
    </w:p>
    <w:p>
      <w:pPr>
        <w:adjustRightInd w:val="0"/>
        <w:snapToGrid w:val="0"/>
        <w:spacing w:line="360" w:lineRule="auto"/>
        <w:ind w:firstLine="422" w:firstLineChars="200"/>
        <w:outlineLvl w:val="9"/>
        <w:rPr>
          <w:rFonts w:ascii="宋体" w:hAnsi="宋体"/>
          <w:b/>
          <w:szCs w:val="21"/>
        </w:rPr>
      </w:pPr>
      <w:r>
        <w:rPr>
          <w:rFonts w:hint="eastAsia" w:ascii="宋体" w:hAnsi="宋体" w:cs="宋体-方正超大字符集"/>
          <w:b/>
          <w:szCs w:val="21"/>
        </w:rPr>
        <w:t>1．</w:t>
      </w:r>
      <w:r>
        <w:rPr>
          <w:rFonts w:hint="eastAsia" w:ascii="宋体" w:hAnsi="宋体"/>
          <w:b/>
          <w:szCs w:val="21"/>
        </w:rPr>
        <w:t>通过</w:t>
      </w:r>
    </w:p>
    <w:p>
      <w:pPr>
        <w:adjustRightInd w:val="0"/>
        <w:snapToGrid w:val="0"/>
        <w:spacing w:line="360" w:lineRule="auto"/>
        <w:ind w:firstLine="420" w:firstLineChars="200"/>
        <w:rPr>
          <w:rFonts w:ascii="宋体" w:hAnsi="宋体"/>
          <w:szCs w:val="21"/>
        </w:rPr>
      </w:pPr>
      <w:r>
        <w:rPr>
          <w:rFonts w:hint="eastAsia" w:ascii="宋体" w:hAnsi="宋体"/>
          <w:szCs w:val="21"/>
        </w:rPr>
        <w:t xml:space="preserve"> 同时满足：</w:t>
      </w:r>
    </w:p>
    <w:p>
      <w:pPr>
        <w:adjustRightInd w:val="0"/>
        <w:snapToGrid w:val="0"/>
        <w:spacing w:line="360" w:lineRule="auto"/>
        <w:ind w:firstLine="420" w:firstLineChars="200"/>
        <w:rPr>
          <w:rFonts w:ascii="宋体" w:hAnsi="宋体"/>
          <w:szCs w:val="21"/>
        </w:rPr>
      </w:pPr>
      <w:r>
        <w:rPr>
          <w:rFonts w:hint="eastAsia" w:ascii="宋体" w:hAnsi="宋体"/>
          <w:szCs w:val="21"/>
        </w:rPr>
        <w:t>（1）主要评估指标“合格”＝7；</w:t>
      </w:r>
    </w:p>
    <w:p>
      <w:pPr>
        <w:adjustRightInd w:val="0"/>
        <w:snapToGrid w:val="0"/>
        <w:spacing w:line="360" w:lineRule="auto"/>
        <w:ind w:firstLine="420" w:firstLineChars="200"/>
        <w:rPr>
          <w:rFonts w:ascii="宋体" w:hAnsi="宋体"/>
          <w:szCs w:val="21"/>
        </w:rPr>
      </w:pPr>
      <w:r>
        <w:rPr>
          <w:rFonts w:hint="eastAsia" w:ascii="宋体" w:hAnsi="宋体"/>
          <w:szCs w:val="21"/>
        </w:rPr>
        <w:t>（2）关键评估要素“合格”≥17；</w:t>
      </w:r>
    </w:p>
    <w:p>
      <w:pPr>
        <w:adjustRightInd w:val="0"/>
        <w:snapToGrid w:val="0"/>
        <w:spacing w:line="360" w:lineRule="auto"/>
        <w:ind w:firstLine="420" w:firstLineChars="200"/>
        <w:rPr>
          <w:rFonts w:ascii="宋体" w:hAnsi="宋体"/>
          <w:szCs w:val="21"/>
        </w:rPr>
      </w:pPr>
      <w:r>
        <w:rPr>
          <w:rFonts w:hint="eastAsia" w:ascii="宋体" w:hAnsi="宋体"/>
          <w:szCs w:val="21"/>
        </w:rPr>
        <w:t>（3）重点评估要素“合格”≥5。</w:t>
      </w:r>
    </w:p>
    <w:p>
      <w:pPr>
        <w:adjustRightInd w:val="0"/>
        <w:snapToGrid w:val="0"/>
        <w:spacing w:line="360" w:lineRule="auto"/>
        <w:ind w:firstLine="422" w:firstLineChars="200"/>
        <w:rPr>
          <w:rFonts w:ascii="宋体" w:hAnsi="宋体"/>
          <w:b/>
          <w:szCs w:val="21"/>
        </w:rPr>
      </w:pPr>
      <w:r>
        <w:rPr>
          <w:rFonts w:hint="eastAsia" w:ascii="宋体" w:hAnsi="宋体" w:cs="宋体-方正超大字符集"/>
          <w:b/>
          <w:szCs w:val="21"/>
        </w:rPr>
        <w:t>2．</w:t>
      </w:r>
      <w:r>
        <w:rPr>
          <w:rFonts w:hint="eastAsia" w:ascii="宋体" w:hAnsi="宋体"/>
          <w:b/>
          <w:szCs w:val="21"/>
        </w:rPr>
        <w:t>暂缓通过</w:t>
      </w:r>
    </w:p>
    <w:p>
      <w:pPr>
        <w:adjustRightInd w:val="0"/>
        <w:snapToGrid w:val="0"/>
        <w:spacing w:line="360" w:lineRule="auto"/>
        <w:ind w:firstLine="420" w:firstLineChars="200"/>
        <w:rPr>
          <w:rFonts w:ascii="宋体" w:hAnsi="宋体"/>
          <w:szCs w:val="21"/>
        </w:rPr>
      </w:pPr>
      <w:r>
        <w:rPr>
          <w:rFonts w:hint="eastAsia" w:ascii="宋体" w:hAnsi="宋体"/>
          <w:szCs w:val="21"/>
        </w:rPr>
        <w:t>满足下列其中一项：</w:t>
      </w:r>
    </w:p>
    <w:p>
      <w:pPr>
        <w:adjustRightInd w:val="0"/>
        <w:snapToGrid w:val="0"/>
        <w:spacing w:line="360" w:lineRule="auto"/>
        <w:ind w:firstLine="420" w:firstLineChars="200"/>
        <w:rPr>
          <w:rFonts w:ascii="宋体" w:hAnsi="宋体"/>
          <w:szCs w:val="21"/>
        </w:rPr>
      </w:pPr>
      <w:r>
        <w:rPr>
          <w:rFonts w:hint="eastAsia" w:ascii="宋体" w:hAnsi="宋体"/>
          <w:szCs w:val="21"/>
        </w:rPr>
        <w:t>（1）主要评估指标“不合格”≥1；</w:t>
      </w:r>
    </w:p>
    <w:p>
      <w:pPr>
        <w:adjustRightInd w:val="0"/>
        <w:snapToGrid w:val="0"/>
        <w:spacing w:line="360" w:lineRule="auto"/>
        <w:ind w:firstLine="420" w:firstLineChars="200"/>
        <w:rPr>
          <w:rFonts w:ascii="宋体" w:hAnsi="宋体"/>
          <w:szCs w:val="21"/>
        </w:rPr>
      </w:pPr>
      <w:r>
        <w:rPr>
          <w:rFonts w:hint="eastAsia" w:ascii="宋体" w:hAnsi="宋体"/>
          <w:szCs w:val="21"/>
        </w:rPr>
        <w:t>（2）关键评估要素“合格”＜17；</w:t>
      </w:r>
    </w:p>
    <w:p>
      <w:pPr>
        <w:adjustRightInd w:val="0"/>
        <w:snapToGrid w:val="0"/>
        <w:spacing w:line="360" w:lineRule="auto"/>
        <w:ind w:firstLine="420" w:firstLineChars="200"/>
        <w:rPr>
          <w:rFonts w:ascii="宋体" w:hAnsi="宋体" w:cs="宋体-方正超大字符集"/>
          <w:szCs w:val="21"/>
        </w:rPr>
      </w:pPr>
      <w:r>
        <w:rPr>
          <w:rFonts w:hint="eastAsia" w:ascii="宋体" w:hAnsi="宋体"/>
          <w:szCs w:val="21"/>
        </w:rPr>
        <w:t>（3）重点评估要素“合格”＜5。</w:t>
      </w:r>
    </w:p>
    <w:p>
      <w:pPr>
        <w:adjustRightInd w:val="0"/>
        <w:snapToGrid w:val="0"/>
        <w:spacing w:line="360" w:lineRule="auto"/>
        <w:ind w:firstLine="420" w:firstLineChars="200"/>
        <w:rPr>
          <w:rFonts w:ascii="宋体" w:hAnsi="宋体" w:cs="宋体-方正超大字符集"/>
          <w:szCs w:val="21"/>
        </w:rPr>
      </w:pPr>
      <w:r>
        <w:rPr>
          <w:rFonts w:hint="eastAsia" w:ascii="宋体" w:hAnsi="宋体" w:cs="宋体-方正超大字符集"/>
          <w:szCs w:val="21"/>
        </w:rPr>
        <w:t>对暂缓通过的院校，在一年内必须进行再次评估，省教育厅同时按照每年递减10－20％的比例适当减少其招生计划；若第二次评估仍未通过，省教育厅将暂缓安排招生计划。</w:t>
      </w:r>
    </w:p>
    <w:p>
      <w:pPr>
        <w:adjustRightInd w:val="0"/>
        <w:snapToGrid w:val="0"/>
        <w:spacing w:line="360" w:lineRule="auto"/>
        <w:ind w:firstLine="413" w:firstLineChars="196"/>
        <w:rPr>
          <w:rFonts w:ascii="宋体" w:hAnsi="宋体"/>
          <w:b/>
          <w:bCs/>
          <w:szCs w:val="21"/>
        </w:rPr>
      </w:pPr>
      <w:r>
        <w:rPr>
          <w:rFonts w:hint="eastAsia" w:ascii="宋体" w:hAnsi="宋体"/>
          <w:b/>
          <w:bCs/>
          <w:szCs w:val="21"/>
        </w:rPr>
        <w:t>七、评估组织实施</w:t>
      </w:r>
    </w:p>
    <w:p>
      <w:pPr>
        <w:pStyle w:val="2"/>
        <w:adjustRightInd w:val="0"/>
        <w:snapToGrid w:val="0"/>
        <w:spacing w:line="360" w:lineRule="auto"/>
        <w:ind w:firstLine="420"/>
        <w:outlineLvl w:val="9"/>
        <w:rPr>
          <w:sz w:val="21"/>
          <w:szCs w:val="21"/>
        </w:rPr>
      </w:pPr>
      <w:r>
        <w:rPr>
          <w:rFonts w:hint="eastAsia"/>
          <w:b/>
          <w:bCs/>
          <w:sz w:val="21"/>
          <w:szCs w:val="21"/>
        </w:rPr>
        <w:t>（一）评估组织</w:t>
      </w:r>
    </w:p>
    <w:p>
      <w:pPr>
        <w:adjustRightInd w:val="0"/>
        <w:snapToGrid w:val="0"/>
        <w:spacing w:line="360" w:lineRule="auto"/>
        <w:ind w:firstLine="420" w:firstLineChars="200"/>
        <w:rPr>
          <w:rFonts w:ascii="宋体" w:hAnsi="宋体" w:cs="宋体-方正超大字符集"/>
          <w:szCs w:val="21"/>
        </w:rPr>
      </w:pPr>
      <w:r>
        <w:rPr>
          <w:rFonts w:hint="eastAsia" w:ascii="宋体" w:hAnsi="宋体" w:cs="宋体-方正超大字符集"/>
          <w:szCs w:val="21"/>
        </w:rPr>
        <w:t>1.省教育行政部门负责组织全省高职高专院校评估工作，加强对评估的宏观管理与指导，组织制定评估工作总体规划并结合广东实际制定《广东省高等职业院校人才培养工作评估实施细则》，报教育部备案后实施。</w:t>
      </w:r>
    </w:p>
    <w:p>
      <w:pPr>
        <w:adjustRightInd w:val="0"/>
        <w:snapToGrid w:val="0"/>
        <w:spacing w:line="360" w:lineRule="auto"/>
        <w:ind w:firstLine="420" w:firstLineChars="200"/>
        <w:rPr>
          <w:rFonts w:ascii="宋体" w:hAnsi="宋体" w:cs="宋体-方正超大字符集"/>
          <w:szCs w:val="21"/>
        </w:rPr>
      </w:pPr>
      <w:r>
        <w:rPr>
          <w:rFonts w:hint="eastAsia" w:ascii="宋体" w:hAnsi="宋体" w:cs="宋体-方正超大字符集"/>
          <w:szCs w:val="21"/>
        </w:rPr>
        <w:t>2.省教育行政部门充分依靠专家和专业评估机构根据评估实施细则制定相关操作规程并组织实施具体评估工作。</w:t>
      </w:r>
    </w:p>
    <w:p>
      <w:pPr>
        <w:adjustRightInd w:val="0"/>
        <w:snapToGrid w:val="0"/>
        <w:spacing w:line="360" w:lineRule="auto"/>
        <w:rPr>
          <w:rFonts w:ascii="宋体" w:hAnsi="宋体" w:cs="宋体-方正超大字符集"/>
          <w:szCs w:val="21"/>
        </w:rPr>
      </w:pPr>
      <w:r>
        <w:rPr>
          <w:rFonts w:hint="eastAsia" w:ascii="宋体" w:hAnsi="宋体" w:cs="宋体-方正超大字符集"/>
          <w:szCs w:val="21"/>
        </w:rPr>
        <w:t xml:space="preserve">    3.成立广东省高等职业院校人才培养工作评估委员会，其主要任务是研究和讨论广东省高等职业院校人才培养评估工作的重大问题，为省教育厅提供建议和咨询；审议专家组对院校的考察评估意见和评估结论，向省教育厅提出评估结论建议。</w:t>
      </w:r>
    </w:p>
    <w:p>
      <w:pPr>
        <w:adjustRightInd w:val="0"/>
        <w:snapToGrid w:val="0"/>
        <w:spacing w:line="360" w:lineRule="auto"/>
        <w:ind w:firstLine="420" w:firstLineChars="200"/>
        <w:rPr>
          <w:rFonts w:ascii="宋体" w:hAnsi="宋体" w:cs="宋体-方正超大字符集"/>
          <w:szCs w:val="21"/>
        </w:rPr>
      </w:pPr>
      <w:r>
        <w:rPr>
          <w:rFonts w:hint="eastAsia" w:ascii="宋体" w:hAnsi="宋体" w:cs="宋体-方正超大字符集"/>
          <w:szCs w:val="21"/>
        </w:rPr>
        <w:t>4.建立评估条件核查和评估回访机制，加强对评估院校的指导和检查。</w:t>
      </w:r>
    </w:p>
    <w:p>
      <w:pPr>
        <w:adjustRightInd w:val="0"/>
        <w:snapToGrid w:val="0"/>
        <w:spacing w:line="360" w:lineRule="auto"/>
        <w:ind w:firstLine="420" w:firstLineChars="200"/>
        <w:rPr>
          <w:rFonts w:ascii="宋体" w:hAnsi="宋体" w:cs="宋体-方正超大字符集"/>
          <w:szCs w:val="21"/>
        </w:rPr>
      </w:pPr>
      <w:r>
        <w:rPr>
          <w:rFonts w:hint="eastAsia" w:ascii="宋体" w:hAnsi="宋体" w:cs="宋体-方正超大字符集"/>
          <w:szCs w:val="21"/>
        </w:rPr>
        <w:t>5.省教育厅每年12月底将本年度已评院校评估结论和省内评估工作总结上报教育部。</w:t>
      </w:r>
    </w:p>
    <w:p>
      <w:pPr>
        <w:pStyle w:val="2"/>
        <w:adjustRightInd w:val="0"/>
        <w:snapToGrid w:val="0"/>
        <w:spacing w:line="360" w:lineRule="auto"/>
        <w:ind w:firstLine="420"/>
        <w:outlineLvl w:val="9"/>
        <w:rPr>
          <w:b/>
          <w:bCs/>
          <w:sz w:val="21"/>
          <w:szCs w:val="21"/>
        </w:rPr>
      </w:pPr>
      <w:r>
        <w:rPr>
          <w:rFonts w:hint="eastAsia"/>
          <w:b/>
          <w:bCs/>
          <w:sz w:val="21"/>
          <w:szCs w:val="21"/>
        </w:rPr>
        <w:t>（二）评估程序</w:t>
      </w:r>
    </w:p>
    <w:p>
      <w:pPr>
        <w:adjustRightInd w:val="0"/>
        <w:snapToGrid w:val="0"/>
        <w:spacing w:line="360" w:lineRule="auto"/>
        <w:ind w:firstLine="420" w:firstLineChars="200"/>
        <w:rPr>
          <w:rFonts w:ascii="宋体" w:hAnsi="宋体" w:cs="宋体-方正超大字符集"/>
          <w:szCs w:val="21"/>
        </w:rPr>
      </w:pPr>
      <w:r>
        <w:rPr>
          <w:rFonts w:hint="eastAsia" w:ascii="宋体" w:hAnsi="宋体" w:cs="宋体-方正超大字符集"/>
          <w:szCs w:val="21"/>
        </w:rPr>
        <w:t>1.学校申请。学校在接受评估前6个月向省教育厅提交接受评估的书面申请报告。</w:t>
      </w:r>
    </w:p>
    <w:p>
      <w:pPr>
        <w:adjustRightInd w:val="0"/>
        <w:snapToGrid w:val="0"/>
        <w:spacing w:line="360" w:lineRule="auto"/>
        <w:ind w:firstLine="420" w:firstLineChars="200"/>
        <w:rPr>
          <w:rFonts w:ascii="宋体" w:hAnsi="宋体" w:cs="宋体-方正超大字符集"/>
          <w:szCs w:val="21"/>
        </w:rPr>
      </w:pPr>
      <w:r>
        <w:rPr>
          <w:rFonts w:hint="eastAsia" w:ascii="宋体" w:hAnsi="宋体" w:cs="宋体-方正超大字符集"/>
          <w:szCs w:val="21"/>
        </w:rPr>
        <w:t>2.学校自评</w:t>
      </w:r>
    </w:p>
    <w:p>
      <w:pPr>
        <w:adjustRightInd w:val="0"/>
        <w:snapToGrid w:val="0"/>
        <w:spacing w:line="360" w:lineRule="auto"/>
        <w:ind w:firstLine="420" w:firstLineChars="200"/>
        <w:rPr>
          <w:rFonts w:ascii="宋体" w:hAnsi="宋体" w:cs="宋体-方正超大字符集"/>
          <w:szCs w:val="21"/>
        </w:rPr>
      </w:pPr>
      <w:r>
        <w:rPr>
          <w:rFonts w:hint="eastAsia" w:ascii="宋体" w:hAnsi="宋体" w:cs="宋体-方正超大字符集"/>
          <w:szCs w:val="21"/>
        </w:rPr>
        <w:t>（1）学校自查评估基本条件。学校对本校申请评估的基本条件进行自查，在接受评估前3个月向省教育厅报送《申请评估基本条件表》（附件）。</w:t>
      </w:r>
    </w:p>
    <w:p>
      <w:pPr>
        <w:adjustRightInd w:val="0"/>
        <w:snapToGrid w:val="0"/>
        <w:spacing w:line="360" w:lineRule="auto"/>
        <w:ind w:firstLine="420" w:firstLineChars="200"/>
        <w:rPr>
          <w:rFonts w:ascii="宋体" w:hAnsi="宋体" w:cs="宋体-方正超大字符集"/>
          <w:szCs w:val="21"/>
        </w:rPr>
      </w:pPr>
      <w:r>
        <w:rPr>
          <w:rFonts w:hint="eastAsia" w:ascii="宋体" w:hAnsi="宋体" w:cs="宋体-方正超大字符集"/>
          <w:szCs w:val="21"/>
        </w:rPr>
        <w:t>（2）学校自评。学校要组织干部、教师认真学习有关文件，准确理解开展高等职业院校人才培养工作评估的基本精神，掌握实质内涵；认真回顾总结学校教育教学改革与发展的思路、成果、经验和特色，依据采集平台提供的数据、信息对学校的人才培养质量做出基本判断，找出存在的主要问题，提出解决的对策，形成自评报告（不超过10000字）和分项自评报告（分项自评报告作为自评报告的附件），并提交高等职业院校人才培养工作状态数据采集平台数据。自评报告及数据平台的数据截止日期到正式接受评估前2个月。高等职业院校人才培养工作状态数据采集平台在校园网常态公布。</w:t>
      </w:r>
    </w:p>
    <w:p>
      <w:pPr>
        <w:adjustRightInd w:val="0"/>
        <w:snapToGrid w:val="0"/>
        <w:spacing w:line="360" w:lineRule="auto"/>
        <w:ind w:firstLine="420" w:firstLineChars="200"/>
        <w:rPr>
          <w:rFonts w:ascii="宋体" w:hAnsi="宋体" w:cs="宋体-方正超大字符集"/>
          <w:szCs w:val="21"/>
        </w:rPr>
      </w:pPr>
      <w:r>
        <w:rPr>
          <w:rFonts w:hint="eastAsia" w:ascii="宋体" w:hAnsi="宋体" w:cs="宋体-方正超大字符集"/>
          <w:szCs w:val="21"/>
        </w:rPr>
        <w:t>3.评估条件核查</w:t>
      </w:r>
    </w:p>
    <w:p>
      <w:pPr>
        <w:adjustRightInd w:val="0"/>
        <w:snapToGrid w:val="0"/>
        <w:spacing w:line="360" w:lineRule="auto"/>
        <w:ind w:firstLine="420" w:firstLineChars="200"/>
        <w:rPr>
          <w:rFonts w:ascii="宋体" w:hAnsi="宋体" w:cs="宋体-方正超大字符集"/>
          <w:szCs w:val="21"/>
        </w:rPr>
      </w:pPr>
      <w:r>
        <w:rPr>
          <w:rFonts w:hint="eastAsia" w:ascii="宋体" w:hAnsi="宋体" w:cs="宋体-方正超大字符集"/>
          <w:szCs w:val="21"/>
        </w:rPr>
        <w:t>省教育厅在评估专家组进校考察评估前，</w:t>
      </w:r>
      <w:r>
        <w:rPr>
          <w:rFonts w:hint="eastAsia" w:ascii="宋体" w:hAnsi="宋体" w:cs="宋体"/>
          <w:kern w:val="0"/>
          <w:szCs w:val="21"/>
        </w:rPr>
        <w:t>组织</w:t>
      </w:r>
      <w:r>
        <w:rPr>
          <w:rFonts w:hint="eastAsia" w:ascii="宋体" w:hAnsi="宋体" w:cs="宋体-方正超大字符集"/>
          <w:szCs w:val="21"/>
        </w:rPr>
        <w:t>专家核查组（5－7人）</w:t>
      </w:r>
      <w:r>
        <w:rPr>
          <w:rFonts w:hint="eastAsia" w:ascii="宋体" w:hAnsi="宋体" w:cs="宋体"/>
          <w:kern w:val="0"/>
          <w:szCs w:val="21"/>
        </w:rPr>
        <w:t>按照教育部教发〔2004〕2号文和教高〔2008〕5号文的有关规定，</w:t>
      </w:r>
      <w:r>
        <w:rPr>
          <w:rFonts w:hint="eastAsia" w:ascii="宋体" w:hAnsi="宋体" w:cs="宋体-方正超大字符集"/>
          <w:szCs w:val="21"/>
        </w:rPr>
        <w:t>对学校申请评估的基本条件进行实地核查。</w:t>
      </w:r>
    </w:p>
    <w:p>
      <w:pPr>
        <w:adjustRightInd w:val="0"/>
        <w:snapToGrid w:val="0"/>
        <w:spacing w:line="360" w:lineRule="auto"/>
        <w:ind w:firstLine="420" w:firstLineChars="200"/>
        <w:rPr>
          <w:rFonts w:ascii="宋体" w:hAnsi="宋体" w:cs="宋体-方正超大字符集"/>
          <w:szCs w:val="21"/>
        </w:rPr>
      </w:pPr>
      <w:r>
        <w:rPr>
          <w:rFonts w:hint="eastAsia" w:ascii="宋体" w:hAnsi="宋体" w:cs="宋体-方正超大字符集"/>
          <w:szCs w:val="21"/>
        </w:rPr>
        <w:t>省教育厅根据核查结果确定是否对申请院校进行评估，并确定评估的具体时间。经核查，未达到申请评估基本条件的学校须加大投入，符合申请评估条件后再次提交申请评估报告，但必须在核查半年后提交。</w:t>
      </w:r>
    </w:p>
    <w:p>
      <w:pPr>
        <w:adjustRightInd w:val="0"/>
        <w:snapToGrid w:val="0"/>
        <w:spacing w:line="360" w:lineRule="auto"/>
        <w:ind w:firstLine="420" w:firstLineChars="200"/>
        <w:rPr>
          <w:rFonts w:ascii="宋体" w:hAnsi="宋体" w:cs="宋体-方正超大字符集"/>
          <w:szCs w:val="21"/>
        </w:rPr>
      </w:pPr>
      <w:r>
        <w:rPr>
          <w:rFonts w:hint="eastAsia" w:ascii="宋体" w:hAnsi="宋体" w:cs="宋体-方正超大字符集"/>
          <w:szCs w:val="21"/>
        </w:rPr>
        <w:t>4.学校上报和公布材料</w:t>
      </w:r>
    </w:p>
    <w:p>
      <w:pPr>
        <w:adjustRightInd w:val="0"/>
        <w:snapToGrid w:val="0"/>
        <w:spacing w:line="360" w:lineRule="auto"/>
        <w:ind w:firstLine="420" w:firstLineChars="200"/>
        <w:rPr>
          <w:rFonts w:ascii="宋体" w:hAnsi="宋体" w:cs="宋体-方正超大字符集"/>
          <w:szCs w:val="21"/>
        </w:rPr>
      </w:pPr>
      <w:r>
        <w:rPr>
          <w:rFonts w:hint="eastAsia" w:ascii="宋体" w:hAnsi="宋体" w:cs="宋体-方正超大字符集"/>
          <w:szCs w:val="21"/>
        </w:rPr>
        <w:t>确定接受评估的学校，于专家组进校前30天向省教育厅提交自评报告（含分项自评报告）和高等职业院校人才培养工作状态数据采集平台数据，自报主要专业、特色专业或重点专业，并将自评报告（含分项自评报告）、高等职业院校人才培养工作状态数据采集平台最新的原始数据、区域社会经济发展“十一五”规划、学校发展规划、主要专业、特色专业或重点专业建设规划，于专家组进校前30天在校园网上对社会公布。</w:t>
      </w:r>
    </w:p>
    <w:p>
      <w:pPr>
        <w:adjustRightInd w:val="0"/>
        <w:snapToGrid w:val="0"/>
        <w:spacing w:line="360" w:lineRule="auto"/>
        <w:ind w:firstLine="420" w:firstLineChars="200"/>
        <w:rPr>
          <w:rFonts w:ascii="宋体" w:hAnsi="宋体" w:cs="宋体-方正超大字符集"/>
          <w:szCs w:val="21"/>
        </w:rPr>
      </w:pPr>
      <w:r>
        <w:rPr>
          <w:rFonts w:hint="eastAsia" w:ascii="宋体" w:hAnsi="宋体" w:cs="宋体-方正超大字符集"/>
          <w:szCs w:val="21"/>
        </w:rPr>
        <w:t>5.组建评估专家组。评估专家组由熟悉高等职业教育教学工作的人员组成，其中必须包括行业企业人员和一线专任教师。省教育厅根据被评院校规模与校区结构、自报主要专业、特色专业或重点专业类别等因素，确定专家组成员人数和名单。专家组成员名单提前7天通知被评学校，并对社会公布。专家组人数一般为8人（含秘书1人）。</w:t>
      </w:r>
    </w:p>
    <w:p>
      <w:pPr>
        <w:adjustRightInd w:val="0"/>
        <w:snapToGrid w:val="0"/>
        <w:spacing w:line="360" w:lineRule="auto"/>
        <w:ind w:firstLine="420" w:firstLineChars="200"/>
        <w:rPr>
          <w:rFonts w:ascii="宋体" w:hAnsi="宋体" w:cs="宋体-方正超大字符集"/>
          <w:szCs w:val="21"/>
        </w:rPr>
      </w:pPr>
      <w:r>
        <w:rPr>
          <w:rFonts w:hint="eastAsia" w:ascii="宋体" w:hAnsi="宋体" w:cs="宋体-方正超大字符集"/>
          <w:szCs w:val="21"/>
        </w:rPr>
        <w:t>6.现场重点考察</w:t>
      </w:r>
    </w:p>
    <w:p>
      <w:pPr>
        <w:pStyle w:val="3"/>
        <w:adjustRightInd w:val="0"/>
        <w:snapToGrid w:val="0"/>
        <w:spacing w:after="0" w:line="360" w:lineRule="auto"/>
        <w:ind w:left="0" w:leftChars="0" w:firstLine="560"/>
        <w:rPr>
          <w:rFonts w:ascii="宋体" w:hAnsi="宋体" w:cs="宋体-方正超大字符集"/>
          <w:szCs w:val="21"/>
        </w:rPr>
      </w:pPr>
      <w:r>
        <w:rPr>
          <w:rFonts w:hint="eastAsia" w:ascii="宋体" w:hAnsi="宋体" w:cs="宋体-方正超大字符集"/>
          <w:szCs w:val="21"/>
        </w:rPr>
        <w:t>专家组在进校前通过校园网查阅学校的上报材料和高等职业院校人才培养工作状态数据采集平台数据，对学校人才培养工作进行预审，并确定现场考察重点。专家组到现场考察评估时，在与学校充分交流和对学院填报的高等职业院校人才培养工作状态数据采集平台数据进行深入分析的基础上，形成考察评估工作报告。</w:t>
      </w:r>
    </w:p>
    <w:p>
      <w:pPr>
        <w:adjustRightInd w:val="0"/>
        <w:snapToGrid w:val="0"/>
        <w:spacing w:line="360" w:lineRule="auto"/>
        <w:ind w:firstLine="420" w:firstLineChars="200"/>
        <w:rPr>
          <w:rFonts w:ascii="宋体" w:hAnsi="宋体" w:cs="宋体-方正超大字符集"/>
          <w:szCs w:val="21"/>
        </w:rPr>
      </w:pPr>
      <w:r>
        <w:rPr>
          <w:rFonts w:hint="eastAsia" w:ascii="宋体" w:hAnsi="宋体" w:cs="宋体-方正超大字符集"/>
          <w:szCs w:val="21"/>
        </w:rPr>
        <w:t>现场重点考察的主要方式是听取学校自评汇报、实地考察（重点考察实验实训条件）、深度访谈、到相关部门查阅原始资料、现场专业剖析，并视情况灵活采取其他考察方式，例如听教师说课、召开座谈会等。</w:t>
      </w:r>
    </w:p>
    <w:p>
      <w:pPr>
        <w:adjustRightInd w:val="0"/>
        <w:snapToGrid w:val="0"/>
        <w:spacing w:line="360" w:lineRule="auto"/>
        <w:ind w:firstLine="420" w:firstLineChars="200"/>
        <w:rPr>
          <w:rFonts w:ascii="宋体" w:hAnsi="宋体" w:cs="宋体-方正超大字符集"/>
          <w:szCs w:val="21"/>
        </w:rPr>
      </w:pPr>
      <w:r>
        <w:rPr>
          <w:rFonts w:hint="eastAsia" w:ascii="宋体" w:hAnsi="宋体" w:cs="宋体-方正超大字符集"/>
          <w:szCs w:val="21"/>
        </w:rPr>
        <w:t>现场重点考察的时间为3天。考察结束后，专家组将评估考察意见及时反馈给学校，同时将专家组考察意见和考察结论上报省教育厅和省高等职业院校人才培养工作评估委员会。</w:t>
      </w:r>
    </w:p>
    <w:p>
      <w:pPr>
        <w:adjustRightInd w:val="0"/>
        <w:snapToGrid w:val="0"/>
        <w:spacing w:line="360" w:lineRule="auto"/>
        <w:ind w:firstLine="411" w:firstLineChars="196"/>
        <w:rPr>
          <w:rFonts w:ascii="宋体" w:hAnsi="宋体" w:cs="宋体-方正超大字符集"/>
          <w:szCs w:val="21"/>
        </w:rPr>
      </w:pPr>
      <w:r>
        <w:rPr>
          <w:rFonts w:hint="eastAsia" w:ascii="宋体" w:hAnsi="宋体" w:cs="宋体-方正超大字符集"/>
          <w:szCs w:val="21"/>
        </w:rPr>
        <w:t xml:space="preserve">7.学校整改。学校根据专家组评估考察意见制定整改方案，开展整改工作。评估结束一个月以内，学校将整改方案报省教育厅和省高等职业院校人才培养工作评估委员会备案。 </w:t>
      </w:r>
    </w:p>
    <w:p>
      <w:pPr>
        <w:adjustRightInd w:val="0"/>
        <w:snapToGrid w:val="0"/>
        <w:spacing w:line="360" w:lineRule="auto"/>
        <w:ind w:firstLine="420" w:firstLineChars="200"/>
        <w:rPr>
          <w:rFonts w:ascii="宋体" w:hAnsi="宋体" w:cs="宋体-方正超大字符集"/>
          <w:szCs w:val="21"/>
        </w:rPr>
      </w:pPr>
      <w:r>
        <w:rPr>
          <w:rFonts w:hint="eastAsia" w:ascii="宋体" w:hAnsi="宋体" w:cs="宋体-方正超大字符集"/>
          <w:szCs w:val="21"/>
        </w:rPr>
        <w:t>8.评估回访。省教育厅根据省内评估工作进展，视学校整改情况适时组织专家到被评院校回访。一般在学校接受评估半年后进行，回访专家组成员3－5名。评估回访要加强针对性，主要考察被评院校落实整改方案并开展整改工作的进展情况，以及学校接受评估以来加强内涵建设，深化教育教学改革，提高人才培养质量的总体情况。评估回访主要以访谈或座谈的方式进行，时间一天。</w:t>
      </w:r>
    </w:p>
    <w:p>
      <w:pPr>
        <w:adjustRightInd w:val="0"/>
        <w:snapToGrid w:val="0"/>
        <w:spacing w:line="360" w:lineRule="auto"/>
        <w:ind w:firstLine="420" w:firstLineChars="200"/>
        <w:rPr>
          <w:rFonts w:ascii="宋体" w:hAnsi="宋体" w:cs="宋体-方正超大字符集"/>
          <w:szCs w:val="21"/>
        </w:rPr>
      </w:pPr>
      <w:r>
        <w:rPr>
          <w:rFonts w:hint="eastAsia" w:ascii="宋体" w:hAnsi="宋体" w:cs="宋体-方正超大字符集"/>
          <w:szCs w:val="21"/>
        </w:rPr>
        <w:t>9.审议专家组考察结论。省高等职业院校人才培养工作评估委员会每年12月召开会议审议专家组的考察结论，并向省教育厅提出评估结论建议。</w:t>
      </w:r>
    </w:p>
    <w:p>
      <w:pPr>
        <w:adjustRightInd w:val="0"/>
        <w:snapToGrid w:val="0"/>
        <w:spacing w:line="360" w:lineRule="auto"/>
        <w:ind w:firstLine="420" w:firstLineChars="200"/>
        <w:rPr>
          <w:rFonts w:ascii="宋体" w:hAnsi="宋体" w:cs="宋体-方正超大字符集"/>
          <w:szCs w:val="21"/>
        </w:rPr>
      </w:pPr>
      <w:r>
        <w:rPr>
          <w:rFonts w:hint="eastAsia" w:ascii="宋体" w:hAnsi="宋体" w:cs="宋体-方正超大字符集"/>
          <w:szCs w:val="21"/>
        </w:rPr>
        <w:t>10.公布评估结论。评估结论由省教育厅予以审定、公布。省教育厅从2008年起，每年定期向社会公布一次评估结论，并报教育部。</w:t>
      </w:r>
    </w:p>
    <w:p>
      <w:pPr>
        <w:pStyle w:val="2"/>
        <w:adjustRightInd w:val="0"/>
        <w:snapToGrid w:val="0"/>
        <w:spacing w:line="360" w:lineRule="auto"/>
        <w:ind w:firstLine="420"/>
        <w:outlineLvl w:val="9"/>
        <w:rPr>
          <w:b/>
          <w:bCs/>
          <w:sz w:val="21"/>
          <w:szCs w:val="21"/>
        </w:rPr>
      </w:pPr>
      <w:r>
        <w:rPr>
          <w:rFonts w:hint="eastAsia"/>
          <w:b/>
          <w:bCs/>
          <w:sz w:val="21"/>
          <w:szCs w:val="21"/>
        </w:rPr>
        <w:t>（三）评估纪律</w:t>
      </w:r>
    </w:p>
    <w:p>
      <w:pPr>
        <w:adjustRightInd w:val="0"/>
        <w:snapToGrid w:val="0"/>
        <w:spacing w:line="360" w:lineRule="auto"/>
        <w:ind w:firstLine="420" w:firstLineChars="200"/>
        <w:rPr>
          <w:rFonts w:ascii="宋体" w:hAnsi="宋体" w:cs="宋体-方正超大字符集"/>
          <w:szCs w:val="21"/>
        </w:rPr>
      </w:pPr>
      <w:r>
        <w:rPr>
          <w:rFonts w:hint="eastAsia" w:ascii="宋体" w:hAnsi="宋体" w:cs="宋体-方正超大字符集"/>
          <w:szCs w:val="21"/>
        </w:rPr>
        <w:t>严格执行教育部和省教育厅关于加强高等学校教学评估工作纪律的各项规定，特别应遵守以下纪律要求：</w:t>
      </w:r>
    </w:p>
    <w:p>
      <w:pPr>
        <w:adjustRightInd w:val="0"/>
        <w:snapToGrid w:val="0"/>
        <w:spacing w:line="360" w:lineRule="auto"/>
        <w:ind w:firstLine="420" w:firstLineChars="200"/>
        <w:rPr>
          <w:rFonts w:ascii="宋体" w:hAnsi="宋体" w:cs="宋体-方正超大字符集"/>
          <w:szCs w:val="21"/>
        </w:rPr>
      </w:pPr>
      <w:r>
        <w:rPr>
          <w:rFonts w:hint="eastAsia" w:ascii="宋体" w:hAnsi="宋体" w:cs="宋体-方正超大字符集"/>
          <w:szCs w:val="21"/>
        </w:rPr>
        <w:t>1.专家组成员要坚持评估原则和要求，客观、公平、公正对学校进行评估，廉洁自律，自觉抵制社会不良风气的干扰，对有碍评估工作公正性、严肃性的不正当做法，应予以抵制并向上级部门反映。</w:t>
      </w:r>
    </w:p>
    <w:p>
      <w:pPr>
        <w:adjustRightInd w:val="0"/>
        <w:snapToGrid w:val="0"/>
        <w:spacing w:line="360" w:lineRule="auto"/>
        <w:ind w:firstLine="420" w:firstLineChars="200"/>
        <w:rPr>
          <w:rFonts w:ascii="宋体" w:hAnsi="宋体" w:cs="宋体-方正超大字符集"/>
          <w:szCs w:val="21"/>
        </w:rPr>
      </w:pPr>
      <w:r>
        <w:rPr>
          <w:rFonts w:hint="eastAsia" w:ascii="宋体" w:hAnsi="宋体" w:cs="宋体-方正超大字符集"/>
          <w:szCs w:val="21"/>
        </w:rPr>
        <w:t>2.学校对专家组的接待工作应节俭、注重实效，坚决反对铺张浪费、形式主义。不搞开幕式，不得安排专家参加任何揭幕、揭牌、剪彩仪式，不搞任何形式的汇报演出，不送礼品。就近安排专家住宿，不得宴请专家、安排旅游，差旅住宿标准不得超过三星级。专家交通用车和相关工作人员配备必须从简安排。</w:t>
      </w:r>
    </w:p>
    <w:p>
      <w:pPr>
        <w:adjustRightInd w:val="0"/>
        <w:snapToGrid w:val="0"/>
        <w:spacing w:line="360" w:lineRule="auto"/>
        <w:ind w:firstLine="420" w:firstLineChars="200"/>
        <w:rPr>
          <w:rFonts w:ascii="宋体" w:hAnsi="宋体" w:cs="宋体-方正超大字符集"/>
          <w:szCs w:val="21"/>
        </w:rPr>
      </w:pPr>
      <w:r>
        <w:rPr>
          <w:rFonts w:hint="eastAsia" w:ascii="宋体" w:hAnsi="宋体" w:cs="宋体-方正超大字符集"/>
          <w:szCs w:val="21"/>
        </w:rPr>
        <w:t>3.省教育厅在组织评估过程中，对被评院校和专家组成员严格纪律要求，对有违反评估纪律的将及时严肃处理。</w:t>
      </w:r>
    </w:p>
    <w:p>
      <w:pPr>
        <w:adjustRightInd w:val="0"/>
        <w:snapToGrid w:val="0"/>
        <w:spacing w:line="360" w:lineRule="auto"/>
        <w:ind w:firstLine="420" w:firstLineChars="200"/>
        <w:rPr>
          <w:rFonts w:ascii="宋体" w:hAnsi="宋体" w:cs="宋体-方正超大字符集"/>
          <w:szCs w:val="21"/>
        </w:rPr>
      </w:pPr>
    </w:p>
    <w:p>
      <w:pPr>
        <w:spacing w:line="400" w:lineRule="exact"/>
        <w:ind w:firstLine="480" w:firstLineChars="200"/>
        <w:rPr>
          <w:rFonts w:ascii="宋体" w:hAnsi="宋体" w:cs="宋体-方正超大字符集"/>
          <w:b w:val="0"/>
          <w:bCs/>
          <w:sz w:val="24"/>
        </w:rPr>
      </w:pPr>
      <w:r>
        <w:rPr>
          <w:rFonts w:hint="eastAsia" w:ascii="宋体" w:hAnsi="宋体" w:cs="宋体-方正超大字符集"/>
          <w:b w:val="0"/>
          <w:bCs/>
          <w:sz w:val="24"/>
        </w:rPr>
        <w:t>附</w:t>
      </w:r>
      <w:r>
        <w:rPr>
          <w:rFonts w:hint="eastAsia" w:ascii="宋体" w:hAnsi="宋体" w:cs="宋体-方正超大字符集"/>
          <w:b w:val="0"/>
          <w:bCs/>
          <w:sz w:val="24"/>
          <w:lang w:eastAsia="zh-CN"/>
        </w:rPr>
        <w:t>件</w:t>
      </w:r>
      <w:r>
        <w:rPr>
          <w:rFonts w:hint="eastAsia" w:ascii="宋体" w:hAnsi="宋体" w:cs="宋体-方正超大字符集"/>
          <w:b w:val="0"/>
          <w:bCs/>
          <w:sz w:val="24"/>
        </w:rPr>
        <w:t>：申请评估基本条件表</w:t>
      </w:r>
    </w:p>
    <w:p>
      <w:pPr>
        <w:spacing w:line="400" w:lineRule="exact"/>
        <w:ind w:firstLine="482" w:firstLineChars="200"/>
        <w:rPr>
          <w:rFonts w:ascii="宋体" w:hAnsi="宋体" w:cs="宋体-方正超大字符集"/>
          <w:b/>
          <w:sz w:val="24"/>
        </w:rPr>
      </w:pPr>
    </w:p>
    <w:p>
      <w:pPr>
        <w:spacing w:line="520" w:lineRule="exact"/>
        <w:rPr>
          <w:rFonts w:ascii="宋体" w:hAnsi="宋体" w:cs="宋体-方正超大字符集"/>
          <w:sz w:val="24"/>
        </w:rPr>
        <w:sectPr>
          <w:pgSz w:w="11906" w:h="16838"/>
          <w:pgMar w:top="1440" w:right="1800" w:bottom="1440" w:left="1800" w:header="851" w:footer="992" w:gutter="0"/>
          <w:pgNumType w:fmt="decimal"/>
          <w:cols w:space="720" w:num="1"/>
          <w:titlePg/>
          <w:docGrid w:type="lines" w:linePitch="312" w:charSpace="0"/>
        </w:sectPr>
      </w:pPr>
    </w:p>
    <w:p>
      <w:pPr>
        <w:pStyle w:val="4"/>
        <w:rPr>
          <w:rFonts w:hint="eastAsia"/>
        </w:rPr>
      </w:pPr>
      <w:r>
        <w:rPr>
          <w:rFonts w:hint="eastAsia"/>
        </w:rPr>
        <w:t>附件：申请评估基本条件</w:t>
      </w:r>
    </w:p>
    <w:p>
      <w:pPr>
        <w:pStyle w:val="4"/>
        <w:rPr>
          <w:rFonts w:hint="eastAsia"/>
        </w:rPr>
      </w:pPr>
      <w:r>
        <w:rPr>
          <w:rFonts w:hint="eastAsia"/>
        </w:rPr>
        <w:t>学校（盖章）：</w:t>
      </w:r>
    </w:p>
    <w:tbl>
      <w:tblPr>
        <w:tblStyle w:val="5"/>
        <w:tblW w:w="9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743"/>
        <w:gridCol w:w="865"/>
        <w:gridCol w:w="667"/>
        <w:gridCol w:w="832"/>
        <w:gridCol w:w="1125"/>
        <w:gridCol w:w="1004"/>
        <w:gridCol w:w="823"/>
        <w:gridCol w:w="750"/>
        <w:gridCol w:w="750"/>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学校类别1</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独立设置高职高专院校时间2</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高职高专毕业生届数</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教师总数3</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专任教师数</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聘请校外教师数</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兼职教师数4</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全日制在校生数</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折合在校生数5</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生师比6</w:t>
            </w: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专任教师中具有研究生学位数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64" w:type="dxa"/>
            <w:tcBorders>
              <w:top w:val="single" w:color="auto" w:sz="4" w:space="0"/>
              <w:left w:val="single" w:color="auto" w:sz="4" w:space="0"/>
              <w:bottom w:val="single" w:color="auto" w:sz="4" w:space="0"/>
              <w:right w:val="single" w:color="auto" w:sz="4" w:space="0"/>
            </w:tcBorders>
            <w:shd w:val="clear" w:color="auto" w:fill="auto"/>
            <w:vAlign w:val="top"/>
          </w:tcPr>
          <w:p/>
        </w:tc>
        <w:tc>
          <w:tcPr>
            <w:tcW w:w="743" w:type="dxa"/>
            <w:tcBorders>
              <w:top w:val="single" w:color="auto" w:sz="4" w:space="0"/>
              <w:left w:val="single" w:color="auto" w:sz="4" w:space="0"/>
              <w:bottom w:val="single" w:color="auto" w:sz="4" w:space="0"/>
              <w:right w:val="single" w:color="auto" w:sz="4" w:space="0"/>
            </w:tcBorders>
            <w:shd w:val="clear" w:color="auto" w:fill="auto"/>
            <w:vAlign w:val="top"/>
          </w:tcPr>
          <w:p/>
        </w:tc>
        <w:tc>
          <w:tcPr>
            <w:tcW w:w="865" w:type="dxa"/>
            <w:tcBorders>
              <w:top w:val="single" w:color="auto" w:sz="4" w:space="0"/>
              <w:left w:val="single" w:color="auto" w:sz="4" w:space="0"/>
              <w:bottom w:val="single" w:color="auto" w:sz="4" w:space="0"/>
              <w:right w:val="single" w:color="auto" w:sz="4" w:space="0"/>
            </w:tcBorders>
            <w:shd w:val="clear" w:color="auto" w:fill="auto"/>
            <w:vAlign w:val="top"/>
          </w:tcPr>
          <w:p/>
        </w:tc>
        <w:tc>
          <w:tcPr>
            <w:tcW w:w="667" w:type="dxa"/>
            <w:tcBorders>
              <w:top w:val="single" w:color="auto" w:sz="4" w:space="0"/>
              <w:left w:val="single" w:color="auto" w:sz="4" w:space="0"/>
              <w:bottom w:val="single" w:color="auto" w:sz="4" w:space="0"/>
              <w:right w:val="single" w:color="auto" w:sz="4" w:space="0"/>
            </w:tcBorders>
            <w:shd w:val="clear" w:color="auto" w:fill="auto"/>
            <w:vAlign w:val="top"/>
          </w:tcPr>
          <w:p/>
        </w:tc>
        <w:tc>
          <w:tcPr>
            <w:tcW w:w="832" w:type="dxa"/>
            <w:tcBorders>
              <w:top w:val="single" w:color="auto" w:sz="4" w:space="0"/>
              <w:left w:val="single" w:color="auto" w:sz="4" w:space="0"/>
              <w:bottom w:val="single" w:color="auto" w:sz="4" w:space="0"/>
              <w:right w:val="single" w:color="auto" w:sz="4" w:space="0"/>
            </w:tcBorders>
            <w:shd w:val="clear" w:color="auto" w:fill="auto"/>
            <w:vAlign w:val="top"/>
          </w:tcPr>
          <w:p/>
        </w:tc>
        <w:tc>
          <w:tcPr>
            <w:tcW w:w="1125" w:type="dxa"/>
            <w:tcBorders>
              <w:top w:val="single" w:color="auto" w:sz="4" w:space="0"/>
              <w:left w:val="single" w:color="auto" w:sz="4" w:space="0"/>
              <w:bottom w:val="single" w:color="auto" w:sz="4" w:space="0"/>
              <w:right w:val="single" w:color="auto" w:sz="4" w:space="0"/>
            </w:tcBorders>
            <w:shd w:val="clear" w:color="auto" w:fill="auto"/>
            <w:vAlign w:val="top"/>
          </w:tcPr>
          <w:p/>
        </w:tc>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tc>
        <w:tc>
          <w:tcPr>
            <w:tcW w:w="823" w:type="dxa"/>
            <w:tcBorders>
              <w:top w:val="single" w:color="auto" w:sz="4" w:space="0"/>
              <w:left w:val="single" w:color="auto" w:sz="4" w:space="0"/>
              <w:bottom w:val="single" w:color="auto" w:sz="4" w:space="0"/>
              <w:right w:val="single" w:color="auto" w:sz="4" w:space="0"/>
            </w:tcBorders>
            <w:shd w:val="clear" w:color="auto" w:fill="auto"/>
            <w:vAlign w:val="top"/>
          </w:tcPr>
          <w:p/>
        </w:tc>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tc>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tc>
        <w:tc>
          <w:tcPr>
            <w:tcW w:w="1123" w:type="dxa"/>
            <w:tcBorders>
              <w:top w:val="single" w:color="auto" w:sz="4" w:space="0"/>
              <w:left w:val="single" w:color="auto" w:sz="4" w:space="0"/>
              <w:bottom w:val="single" w:color="auto" w:sz="4" w:space="0"/>
              <w:right w:val="single" w:color="auto" w:sz="4" w:space="0"/>
            </w:tcBorders>
            <w:shd w:val="clear" w:color="auto" w:fill="auto"/>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具有研究生学位教师占专任教师比例</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教学行政用房（平方米）7</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生均教学行政用房（平方米/生）8</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教学科研仪器设备值9</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生均教学科研仪器设备值（元/生）10</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图书总数（册）</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纸质图书总数（册）</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电子图书总数（册）</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生均图书11</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生均纸质图书12</w:t>
            </w: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实验、实习、实训场所及附属用房占有面积13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64" w:type="dxa"/>
            <w:tcBorders>
              <w:top w:val="single" w:color="auto" w:sz="4" w:space="0"/>
              <w:left w:val="single" w:color="auto" w:sz="4" w:space="0"/>
              <w:bottom w:val="single" w:color="auto" w:sz="4" w:space="0"/>
              <w:right w:val="single" w:color="auto" w:sz="4" w:space="0"/>
            </w:tcBorders>
            <w:shd w:val="clear" w:color="auto" w:fill="auto"/>
            <w:vAlign w:val="top"/>
          </w:tcPr>
          <w:p/>
        </w:tc>
        <w:tc>
          <w:tcPr>
            <w:tcW w:w="743" w:type="dxa"/>
            <w:tcBorders>
              <w:top w:val="single" w:color="auto" w:sz="4" w:space="0"/>
              <w:left w:val="single" w:color="auto" w:sz="4" w:space="0"/>
              <w:bottom w:val="single" w:color="auto" w:sz="4" w:space="0"/>
              <w:right w:val="single" w:color="auto" w:sz="4" w:space="0"/>
            </w:tcBorders>
            <w:shd w:val="clear" w:color="auto" w:fill="auto"/>
            <w:vAlign w:val="top"/>
          </w:tcPr>
          <w:p/>
        </w:tc>
        <w:tc>
          <w:tcPr>
            <w:tcW w:w="865" w:type="dxa"/>
            <w:tcBorders>
              <w:top w:val="single" w:color="auto" w:sz="4" w:space="0"/>
              <w:left w:val="single" w:color="auto" w:sz="4" w:space="0"/>
              <w:bottom w:val="single" w:color="auto" w:sz="4" w:space="0"/>
              <w:right w:val="single" w:color="auto" w:sz="4" w:space="0"/>
            </w:tcBorders>
            <w:shd w:val="clear" w:color="auto" w:fill="auto"/>
            <w:vAlign w:val="top"/>
          </w:tcPr>
          <w:p/>
        </w:tc>
        <w:tc>
          <w:tcPr>
            <w:tcW w:w="667" w:type="dxa"/>
            <w:tcBorders>
              <w:top w:val="single" w:color="auto" w:sz="4" w:space="0"/>
              <w:left w:val="single" w:color="auto" w:sz="4" w:space="0"/>
              <w:bottom w:val="single" w:color="auto" w:sz="4" w:space="0"/>
              <w:right w:val="single" w:color="auto" w:sz="4" w:space="0"/>
            </w:tcBorders>
            <w:shd w:val="clear" w:color="auto" w:fill="auto"/>
            <w:vAlign w:val="top"/>
          </w:tcPr>
          <w:p/>
        </w:tc>
        <w:tc>
          <w:tcPr>
            <w:tcW w:w="832" w:type="dxa"/>
            <w:tcBorders>
              <w:top w:val="single" w:color="auto" w:sz="4" w:space="0"/>
              <w:left w:val="single" w:color="auto" w:sz="4" w:space="0"/>
              <w:bottom w:val="single" w:color="auto" w:sz="4" w:space="0"/>
              <w:right w:val="single" w:color="auto" w:sz="4" w:space="0"/>
            </w:tcBorders>
            <w:shd w:val="clear" w:color="auto" w:fill="auto"/>
            <w:vAlign w:val="top"/>
          </w:tcPr>
          <w:p/>
        </w:tc>
        <w:tc>
          <w:tcPr>
            <w:tcW w:w="1125" w:type="dxa"/>
            <w:tcBorders>
              <w:top w:val="single" w:color="auto" w:sz="4" w:space="0"/>
              <w:left w:val="single" w:color="auto" w:sz="4" w:space="0"/>
              <w:bottom w:val="single" w:color="auto" w:sz="4" w:space="0"/>
              <w:right w:val="single" w:color="auto" w:sz="4" w:space="0"/>
            </w:tcBorders>
            <w:shd w:val="clear" w:color="auto" w:fill="auto"/>
            <w:vAlign w:val="top"/>
          </w:tcPr>
          <w:p/>
        </w:tc>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tc>
        <w:tc>
          <w:tcPr>
            <w:tcW w:w="823" w:type="dxa"/>
            <w:tcBorders>
              <w:top w:val="single" w:color="auto" w:sz="4" w:space="0"/>
              <w:left w:val="single" w:color="auto" w:sz="4" w:space="0"/>
              <w:bottom w:val="single" w:color="auto" w:sz="4" w:space="0"/>
              <w:right w:val="single" w:color="auto" w:sz="4" w:space="0"/>
            </w:tcBorders>
            <w:shd w:val="clear" w:color="auto" w:fill="auto"/>
            <w:vAlign w:val="top"/>
          </w:tcPr>
          <w:p/>
        </w:tc>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tc>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tc>
        <w:tc>
          <w:tcPr>
            <w:tcW w:w="1123" w:type="dxa"/>
            <w:tcBorders>
              <w:top w:val="single" w:color="auto" w:sz="4" w:space="0"/>
              <w:left w:val="single" w:color="auto" w:sz="4" w:space="0"/>
              <w:bottom w:val="single" w:color="auto" w:sz="4" w:space="0"/>
              <w:right w:val="single" w:color="auto" w:sz="4" w:space="0"/>
            </w:tcBorders>
            <w:shd w:val="clear" w:color="auto" w:fill="auto"/>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生均实验、实习、实训场所及附属用房占有面积（平方米/生）14</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专任教师中具有高级职务数</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具有高级职务教师占专任教师的比例</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占地面积（平方米）15</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生均占地面积（平方米/生）16</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宿舍面积（平方米）</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生均学生宿舍面积（平方米/生）17</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百名学生配教学用计算机台数（台）18</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百名学生配多媒体教室和语音实验室座位数19</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新增教学科研仪器设备所占比例20</w:t>
            </w: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生均年进书量（册）21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64" w:type="dxa"/>
            <w:tcBorders>
              <w:top w:val="single" w:color="auto" w:sz="4" w:space="0"/>
              <w:left w:val="single" w:color="auto" w:sz="4" w:space="0"/>
              <w:bottom w:val="single" w:color="auto" w:sz="4" w:space="0"/>
              <w:right w:val="single" w:color="auto" w:sz="4" w:space="0"/>
            </w:tcBorders>
            <w:shd w:val="clear" w:color="auto" w:fill="auto"/>
            <w:vAlign w:val="top"/>
          </w:tcPr>
          <w:p/>
        </w:tc>
        <w:tc>
          <w:tcPr>
            <w:tcW w:w="743" w:type="dxa"/>
            <w:tcBorders>
              <w:top w:val="single" w:color="auto" w:sz="4" w:space="0"/>
              <w:left w:val="single" w:color="auto" w:sz="4" w:space="0"/>
              <w:bottom w:val="single" w:color="auto" w:sz="4" w:space="0"/>
              <w:right w:val="single" w:color="auto" w:sz="4" w:space="0"/>
            </w:tcBorders>
            <w:shd w:val="clear" w:color="auto" w:fill="auto"/>
            <w:vAlign w:val="top"/>
          </w:tcPr>
          <w:p/>
        </w:tc>
        <w:tc>
          <w:tcPr>
            <w:tcW w:w="865" w:type="dxa"/>
            <w:tcBorders>
              <w:top w:val="single" w:color="auto" w:sz="4" w:space="0"/>
              <w:left w:val="single" w:color="auto" w:sz="4" w:space="0"/>
              <w:bottom w:val="single" w:color="auto" w:sz="4" w:space="0"/>
              <w:right w:val="single" w:color="auto" w:sz="4" w:space="0"/>
            </w:tcBorders>
            <w:shd w:val="clear" w:color="auto" w:fill="auto"/>
            <w:vAlign w:val="top"/>
          </w:tcPr>
          <w:p/>
        </w:tc>
        <w:tc>
          <w:tcPr>
            <w:tcW w:w="667" w:type="dxa"/>
            <w:tcBorders>
              <w:top w:val="single" w:color="auto" w:sz="4" w:space="0"/>
              <w:left w:val="single" w:color="auto" w:sz="4" w:space="0"/>
              <w:bottom w:val="single" w:color="auto" w:sz="4" w:space="0"/>
              <w:right w:val="single" w:color="auto" w:sz="4" w:space="0"/>
            </w:tcBorders>
            <w:shd w:val="clear" w:color="auto" w:fill="auto"/>
            <w:vAlign w:val="top"/>
          </w:tcPr>
          <w:p/>
        </w:tc>
        <w:tc>
          <w:tcPr>
            <w:tcW w:w="832" w:type="dxa"/>
            <w:tcBorders>
              <w:top w:val="single" w:color="auto" w:sz="4" w:space="0"/>
              <w:left w:val="single" w:color="auto" w:sz="4" w:space="0"/>
              <w:bottom w:val="single" w:color="auto" w:sz="4" w:space="0"/>
              <w:right w:val="single" w:color="auto" w:sz="4" w:space="0"/>
            </w:tcBorders>
            <w:shd w:val="clear" w:color="auto" w:fill="auto"/>
            <w:vAlign w:val="top"/>
          </w:tcPr>
          <w:p/>
        </w:tc>
        <w:tc>
          <w:tcPr>
            <w:tcW w:w="1125" w:type="dxa"/>
            <w:tcBorders>
              <w:top w:val="single" w:color="auto" w:sz="4" w:space="0"/>
              <w:left w:val="single" w:color="auto" w:sz="4" w:space="0"/>
              <w:bottom w:val="single" w:color="auto" w:sz="4" w:space="0"/>
              <w:right w:val="single" w:color="auto" w:sz="4" w:space="0"/>
            </w:tcBorders>
            <w:shd w:val="clear" w:color="auto" w:fill="auto"/>
            <w:vAlign w:val="top"/>
          </w:tcPr>
          <w:p/>
        </w:tc>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tc>
        <w:tc>
          <w:tcPr>
            <w:tcW w:w="823" w:type="dxa"/>
            <w:tcBorders>
              <w:top w:val="single" w:color="auto" w:sz="4" w:space="0"/>
              <w:left w:val="single" w:color="auto" w:sz="4" w:space="0"/>
              <w:bottom w:val="single" w:color="auto" w:sz="4" w:space="0"/>
              <w:right w:val="single" w:color="auto" w:sz="4" w:space="0"/>
            </w:tcBorders>
            <w:shd w:val="clear" w:color="auto" w:fill="auto"/>
            <w:vAlign w:val="top"/>
          </w:tcPr>
          <w:p/>
        </w:tc>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tc>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tc>
        <w:tc>
          <w:tcPr>
            <w:tcW w:w="1123" w:type="dxa"/>
            <w:tcBorders>
              <w:top w:val="single" w:color="auto" w:sz="4" w:space="0"/>
              <w:left w:val="single" w:color="auto" w:sz="4" w:space="0"/>
              <w:bottom w:val="single" w:color="auto" w:sz="4" w:space="0"/>
              <w:right w:val="single" w:color="auto" w:sz="4" w:space="0"/>
            </w:tcBorders>
            <w:shd w:val="clear" w:color="auto" w:fill="auto"/>
            <w:vAlign w:val="top"/>
          </w:tcPr>
          <w:p/>
        </w:tc>
      </w:tr>
    </w:tbl>
    <w:p>
      <w:pPr>
        <w:pStyle w:val="7"/>
        <w:spacing w:before="0" w:beforeAutospacing="0" w:after="0" w:afterAutospacing="0" w:line="520" w:lineRule="exact"/>
        <w:ind w:firstLine="360" w:firstLineChars="150"/>
        <w:jc w:val="both"/>
        <w:rPr>
          <w:rFonts w:hint="eastAsia"/>
        </w:rPr>
      </w:pPr>
    </w:p>
    <w:p>
      <w:pPr>
        <w:pStyle w:val="4"/>
        <w:rPr>
          <w:rFonts w:hint="eastAsia"/>
          <w:sz w:val="21"/>
          <w:szCs w:val="21"/>
        </w:rPr>
      </w:pPr>
      <w:r>
        <w:rPr>
          <w:rFonts w:hint="eastAsia"/>
          <w:sz w:val="21"/>
          <w:szCs w:val="21"/>
        </w:rPr>
        <w:t>备注：1.分为综合院校、师范院校、民族院校、理工院校、农业院校、林业院校、医药院校、语文院校、财经院校、政法院校、体育院校、艺术院校，以教育部发展规划司规定为准。</w:t>
      </w:r>
    </w:p>
    <w:p>
      <w:pPr>
        <w:pStyle w:val="4"/>
        <w:rPr>
          <w:rFonts w:hint="eastAsia"/>
          <w:sz w:val="21"/>
          <w:szCs w:val="21"/>
        </w:rPr>
      </w:pPr>
      <w:r>
        <w:rPr>
          <w:rFonts w:hint="eastAsia"/>
          <w:sz w:val="21"/>
          <w:szCs w:val="21"/>
        </w:rPr>
        <w:t>2.指院校独立设置具有举办高等职业教育资格的时间（上级主管部门批准时间）。</w:t>
      </w:r>
    </w:p>
    <w:p>
      <w:pPr>
        <w:pStyle w:val="4"/>
        <w:rPr>
          <w:rFonts w:hint="eastAsia"/>
          <w:sz w:val="21"/>
          <w:szCs w:val="21"/>
        </w:rPr>
      </w:pPr>
      <w:r>
        <w:rPr>
          <w:rFonts w:hint="eastAsia"/>
          <w:sz w:val="21"/>
          <w:szCs w:val="21"/>
        </w:rPr>
        <w:t>3.按照教高〔2008〕5号文规定折算，即兼职教师等非专任教师数按每学年授课160学时为1名教师计算，专兼教师之比无限制。</w:t>
      </w:r>
    </w:p>
    <w:p>
      <w:pPr>
        <w:pStyle w:val="4"/>
        <w:rPr>
          <w:rFonts w:hint="eastAsia"/>
          <w:sz w:val="21"/>
          <w:szCs w:val="21"/>
        </w:rPr>
      </w:pPr>
      <w:r>
        <w:rPr>
          <w:rFonts w:hint="eastAsia"/>
          <w:sz w:val="21"/>
          <w:szCs w:val="21"/>
        </w:rPr>
        <w:t>4.指正式聘任的，独立承担一门专业课或实践教学任务（20学时以上）的行业、企业及社会中的专业技术人员和能工巧匠。</w:t>
      </w:r>
    </w:p>
    <w:p>
      <w:pPr>
        <w:pStyle w:val="4"/>
        <w:rPr>
          <w:rFonts w:hint="eastAsia"/>
          <w:sz w:val="21"/>
          <w:szCs w:val="21"/>
        </w:rPr>
      </w:pPr>
      <w:r>
        <w:rPr>
          <w:rFonts w:hint="eastAsia"/>
          <w:sz w:val="21"/>
          <w:szCs w:val="21"/>
        </w:rPr>
        <w:t>5.按照教育部发展规划司规定折算，即折合在校生数＝普通本、专科（高职）生数+硕士生数×1.5+博士生数×2+留学生数×3+预科生数+进修生数+成人脱产班学生数+夜大（业余）学生数×0.3+函授生数×0.1。6.生师比＝折合在校生数/教师总数。</w:t>
      </w:r>
    </w:p>
    <w:p>
      <w:pPr>
        <w:pStyle w:val="4"/>
        <w:rPr>
          <w:rFonts w:hint="eastAsia"/>
          <w:sz w:val="21"/>
          <w:szCs w:val="21"/>
        </w:rPr>
      </w:pPr>
      <w:r>
        <w:rPr>
          <w:rFonts w:hint="eastAsia"/>
          <w:sz w:val="21"/>
          <w:szCs w:val="21"/>
        </w:rPr>
        <w:t>7.包括教学及辅助用房、行政办公用房，不包括学生宿舍。计算建筑面积时，学校租赁的其他单位的房舍，如果有10年以上合同期且属自己独立使用、自主支配的可以计算在内。学校所属的中职院校为独立校区的，中职校区的办学条件不计算在内；中职和高职在同一个校区，无法区分的，中职的办学条件计算在内，但同时必须将中职的学生数计算在全日制在校生数内。其他涉及到中职的办学条件，按此规定执行。</w:t>
      </w:r>
    </w:p>
    <w:p>
      <w:pPr>
        <w:pStyle w:val="4"/>
        <w:rPr>
          <w:rFonts w:hint="eastAsia"/>
          <w:sz w:val="21"/>
          <w:szCs w:val="21"/>
        </w:rPr>
      </w:pPr>
      <w:r>
        <w:rPr>
          <w:rFonts w:hint="eastAsia"/>
          <w:sz w:val="21"/>
          <w:szCs w:val="21"/>
        </w:rPr>
        <w:t>8.生均教学行政用房＝（教学及辅助用房面积+行政办公用房面积）/全日制在校生数。</w:t>
      </w:r>
    </w:p>
    <w:p>
      <w:pPr>
        <w:pStyle w:val="4"/>
        <w:rPr>
          <w:rFonts w:hint="eastAsia"/>
          <w:sz w:val="21"/>
          <w:szCs w:val="21"/>
        </w:rPr>
      </w:pPr>
      <w:r>
        <w:rPr>
          <w:rFonts w:hint="eastAsia"/>
          <w:sz w:val="21"/>
          <w:szCs w:val="21"/>
        </w:rPr>
        <w:t>9.教学科研仪器设备指单价在800元以上用于教学科研的仪器设备。计算教学科研仪器设备资产总值时，已通过招投标但尚未到位和待招标的设备不计在内，企业捐赠设备按接受捐赠时的新旧程度估值后计算在内。</w:t>
      </w:r>
    </w:p>
    <w:p>
      <w:pPr>
        <w:pStyle w:val="4"/>
        <w:rPr>
          <w:rFonts w:hint="eastAsia"/>
          <w:sz w:val="21"/>
          <w:szCs w:val="21"/>
        </w:rPr>
      </w:pPr>
      <w:r>
        <w:rPr>
          <w:rFonts w:hint="eastAsia"/>
          <w:sz w:val="21"/>
          <w:szCs w:val="21"/>
        </w:rPr>
        <w:t>10.生均教学科研仪器设备值＝教学科研仪器设备资产总值/折合在校生数。</w:t>
      </w:r>
    </w:p>
    <w:p>
      <w:pPr>
        <w:pStyle w:val="4"/>
        <w:rPr>
          <w:rFonts w:hint="eastAsia"/>
          <w:sz w:val="21"/>
          <w:szCs w:val="21"/>
        </w:rPr>
      </w:pPr>
      <w:r>
        <w:rPr>
          <w:rFonts w:hint="eastAsia"/>
          <w:sz w:val="21"/>
          <w:szCs w:val="21"/>
        </w:rPr>
        <w:t>11.生均图书＝图书总数/折合在校生数。12.生均纸质图书＝纸质图书总数/折合在校生</w:t>
      </w:r>
      <w:bookmarkStart w:id="1" w:name="_GoBack"/>
      <w:bookmarkEnd w:id="1"/>
      <w:r>
        <w:rPr>
          <w:rFonts w:hint="eastAsia"/>
          <w:sz w:val="21"/>
          <w:szCs w:val="21"/>
        </w:rPr>
        <w:t>数。</w:t>
      </w:r>
    </w:p>
    <w:p>
      <w:pPr>
        <w:pStyle w:val="4"/>
        <w:rPr>
          <w:rFonts w:hint="eastAsia"/>
          <w:sz w:val="21"/>
          <w:szCs w:val="21"/>
        </w:rPr>
      </w:pPr>
      <w:r>
        <w:rPr>
          <w:rFonts w:hint="eastAsia"/>
          <w:sz w:val="21"/>
          <w:szCs w:val="21"/>
        </w:rPr>
        <w:t>13.学校与企业合作共建的校内实验、实训场所可以计算在内；学校租赁的其他单位的房舍，如果有10年以上合同期且属自己独立使用、自主支配的可以计算在内；学校与企业合作共建的校外实训基地不计算在内。</w:t>
      </w:r>
    </w:p>
    <w:p>
      <w:pPr>
        <w:pStyle w:val="4"/>
        <w:rPr>
          <w:rFonts w:hint="eastAsia"/>
          <w:sz w:val="21"/>
          <w:szCs w:val="21"/>
        </w:rPr>
      </w:pPr>
      <w:r>
        <w:rPr>
          <w:rFonts w:hint="eastAsia"/>
          <w:sz w:val="21"/>
          <w:szCs w:val="21"/>
        </w:rPr>
        <w:t>14.生均实验、实习、实训场所及附属用房占有面积＝实验、实习、实训场所及附属用房占有面积/全日制在校生数。</w:t>
      </w:r>
    </w:p>
    <w:p>
      <w:pPr>
        <w:pStyle w:val="4"/>
        <w:rPr>
          <w:rFonts w:hint="eastAsia"/>
          <w:sz w:val="21"/>
          <w:szCs w:val="21"/>
        </w:rPr>
      </w:pPr>
      <w:r>
        <w:rPr>
          <w:rFonts w:hint="eastAsia"/>
          <w:sz w:val="21"/>
          <w:szCs w:val="21"/>
        </w:rPr>
        <w:t>15.已办建设用地规划许可证，但尚未开始建设的不计算在内；学校租赁的其他单位的场地，如果有10年以上合同期且属自己独立使用、自主支配的可以计算在内。</w:t>
      </w:r>
    </w:p>
    <w:p>
      <w:pPr>
        <w:pStyle w:val="4"/>
        <w:rPr>
          <w:rFonts w:hint="eastAsia"/>
          <w:sz w:val="21"/>
          <w:szCs w:val="21"/>
        </w:rPr>
      </w:pPr>
      <w:r>
        <w:rPr>
          <w:rFonts w:hint="eastAsia"/>
          <w:sz w:val="21"/>
          <w:szCs w:val="21"/>
        </w:rPr>
        <w:t>16.生均占地面积＝占地面积/全日制在校生数。</w:t>
      </w:r>
    </w:p>
    <w:p>
      <w:pPr>
        <w:pStyle w:val="4"/>
        <w:rPr>
          <w:rFonts w:hint="eastAsia"/>
          <w:sz w:val="21"/>
          <w:szCs w:val="21"/>
        </w:rPr>
      </w:pPr>
      <w:r>
        <w:rPr>
          <w:rFonts w:hint="eastAsia"/>
          <w:sz w:val="21"/>
          <w:szCs w:val="21"/>
        </w:rPr>
        <w:t>17.生均学生宿舍面积＝学生宿舍面积/全日制在校生数。学校租赁的其他单位的房舍，如果有10年以上合同期且属自己独立使用、自主支配的可以计算在内。</w:t>
      </w:r>
    </w:p>
    <w:p>
      <w:pPr>
        <w:pStyle w:val="4"/>
        <w:rPr>
          <w:rFonts w:hint="eastAsia"/>
          <w:sz w:val="21"/>
          <w:szCs w:val="21"/>
        </w:rPr>
      </w:pPr>
      <w:r>
        <w:rPr>
          <w:rFonts w:hint="eastAsia"/>
          <w:sz w:val="21"/>
          <w:szCs w:val="21"/>
        </w:rPr>
        <w:t>18.百名学生配教学用计算机台数＝（教学用计算机台数/全日制在校生数）×100。</w:t>
      </w:r>
    </w:p>
    <w:p>
      <w:pPr>
        <w:pStyle w:val="4"/>
        <w:rPr>
          <w:rFonts w:hint="eastAsia"/>
          <w:sz w:val="21"/>
          <w:szCs w:val="21"/>
        </w:rPr>
      </w:pPr>
      <w:r>
        <w:rPr>
          <w:rFonts w:hint="eastAsia"/>
          <w:sz w:val="21"/>
          <w:szCs w:val="21"/>
        </w:rPr>
        <w:t>19.百名学生配多媒体教室和语音实验室座位数＝（多媒体教室和语音实验室座位数/全日制在校生数）×100。</w:t>
      </w:r>
    </w:p>
    <w:p>
      <w:pPr>
        <w:pStyle w:val="4"/>
        <w:rPr>
          <w:rFonts w:hint="eastAsia"/>
          <w:sz w:val="21"/>
          <w:szCs w:val="21"/>
        </w:rPr>
      </w:pPr>
      <w:r>
        <w:rPr>
          <w:rFonts w:hint="eastAsia"/>
          <w:sz w:val="21"/>
          <w:szCs w:val="21"/>
        </w:rPr>
        <w:t>20.新增教学科研仪器设备所占比例＝当年新增教学科研仪器设备值/(教学科研仪器设备资产总值-当年新增教学科研仪器设备值）。</w:t>
      </w:r>
    </w:p>
    <w:p>
      <w:pPr>
        <w:pStyle w:val="4"/>
        <w:rPr>
          <w:rFonts w:hint="eastAsia"/>
          <w:sz w:val="21"/>
          <w:szCs w:val="21"/>
        </w:rPr>
      </w:pPr>
      <w:r>
        <w:rPr>
          <w:rFonts w:hint="eastAsia"/>
          <w:sz w:val="21"/>
          <w:szCs w:val="21"/>
        </w:rPr>
        <w:t>21.生均年进书量＝当年新增图书量/折合在校生数。</w:t>
      </w:r>
    </w:p>
    <w:p>
      <w:pPr>
        <w:pStyle w:val="4"/>
      </w:pPr>
      <w:r>
        <w:rPr>
          <w:rFonts w:hint="eastAsia"/>
          <w:sz w:val="21"/>
          <w:szCs w:val="21"/>
        </w:rPr>
        <w:t>未尽事宜，按照教育部和省有关文件规定执行。</w:t>
      </w:r>
    </w:p>
    <w:p>
      <w:pPr>
        <w:pStyle w:val="7"/>
        <w:spacing w:before="0" w:beforeAutospacing="0" w:after="0" w:afterAutospacing="0" w:line="520" w:lineRule="exact"/>
        <w:jc w:val="both"/>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503C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520" w:lineRule="exact"/>
      <w:ind w:firstLine="557" w:firstLineChars="199"/>
    </w:pPr>
    <w:rPr>
      <w:rFonts w:ascii="仿宋_GB2312" w:eastAsia="仿宋_GB2312"/>
      <w:sz w:val="28"/>
      <w:szCs w:val="28"/>
    </w:rPr>
  </w:style>
  <w:style w:type="paragraph" w:styleId="3">
    <w:name w:val="Body Text Indent 2"/>
    <w:basedOn w:val="1"/>
    <w:qFormat/>
    <w:uiPriority w:val="0"/>
    <w:pPr>
      <w:spacing w:after="120" w:line="480" w:lineRule="auto"/>
      <w:ind w:left="420" w:leftChars="200"/>
    </w:pPr>
  </w:style>
  <w:style w:type="paragraph" w:styleId="4">
    <w:name w:val="Body Text First Indent 2"/>
    <w:basedOn w:val="2"/>
    <w:unhideWhenUsed/>
    <w:qFormat/>
    <w:uiPriority w:val="99"/>
    <w:pPr>
      <w:spacing w:line="400" w:lineRule="exact"/>
      <w:ind w:left="0" w:leftChars="0" w:firstLine="480" w:firstLineChars="200"/>
    </w:pPr>
    <w:rPr>
      <w:sz w:val="24"/>
    </w:rPr>
  </w:style>
  <w:style w:type="paragraph" w:customStyle="1" w:styleId="7">
    <w:name w:val="titl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2019-12-12T03:18:01Z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