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人才培养第三阶段集中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教学评价表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（督导听课试用表）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24"/>
        </w:rPr>
        <w:t>听课时间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</w:rPr>
        <w:t>日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</w:rPr>
        <w:t>第</w:t>
      </w:r>
      <w:r>
        <w:rPr>
          <w:rFonts w:hint="eastAsia" w:ascii="仿宋" w:hAnsi="仿宋" w:eastAsia="仿宋"/>
          <w:b/>
          <w:sz w:val="24"/>
          <w:u w:val="single"/>
        </w:rPr>
        <w:t xml:space="preserve">   </w:t>
      </w:r>
      <w:r>
        <w:rPr>
          <w:rFonts w:hint="eastAsia" w:ascii="仿宋" w:hAnsi="仿宋" w:eastAsia="仿宋"/>
          <w:b/>
          <w:sz w:val="24"/>
        </w:rPr>
        <w:t>周 星期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第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</w:rPr>
        <w:t>节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</w:p>
    <w:tbl>
      <w:tblPr>
        <w:tblStyle w:val="2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5"/>
        <w:gridCol w:w="1099"/>
        <w:gridCol w:w="331"/>
        <w:gridCol w:w="2190"/>
        <w:gridCol w:w="1190"/>
        <w:gridCol w:w="1485"/>
        <w:gridCol w:w="64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  <w:lang w:eastAsia="zh-CN"/>
              </w:rPr>
              <w:t>学生</w:t>
            </w: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所</w:t>
            </w:r>
            <w:r>
              <w:rPr>
                <w:rFonts w:hint="eastAsia" w:ascii="仿宋" w:hAnsi="仿宋" w:eastAsia="仿宋"/>
                <w:b/>
                <w:spacing w:val="-20"/>
                <w:sz w:val="24"/>
                <w:lang w:eastAsia="zh-CN"/>
              </w:rPr>
              <w:t>属系</w:t>
            </w: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(部)</w:t>
            </w:r>
            <w:r>
              <w:rPr>
                <w:rFonts w:hint="eastAsia" w:ascii="仿宋" w:hAnsi="仿宋" w:eastAsia="仿宋"/>
                <w:b/>
                <w:spacing w:val="-20"/>
                <w:sz w:val="24"/>
                <w:lang w:eastAsia="zh-CN"/>
              </w:rPr>
              <w:t>及专业</w:t>
            </w:r>
          </w:p>
        </w:tc>
        <w:tc>
          <w:tcPr>
            <w:tcW w:w="3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评分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教师姓名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ind w:right="400"/>
              <w:jc w:val="both"/>
              <w:rPr>
                <w:rFonts w:hint="eastAsia" w:ascii="仿宋" w:hAnsi="仿宋" w:eastAsia="仿宋"/>
                <w:b/>
                <w:spacing w:val="-28"/>
                <w:sz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教师所在工作单位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ind w:right="400"/>
              <w:jc w:val="both"/>
              <w:rPr>
                <w:rFonts w:hint="eastAsia" w:ascii="仿宋" w:hAnsi="仿宋" w:eastAsia="仿宋"/>
                <w:b/>
                <w:spacing w:val="-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eastAsia="zh-CN"/>
              </w:rPr>
              <w:t>教学地点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学生人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数（人）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ind w:right="400"/>
              <w:jc w:val="both"/>
              <w:rPr>
                <w:rFonts w:hint="eastAsia" w:ascii="仿宋" w:hAnsi="仿宋" w:eastAsia="仿宋"/>
                <w:b/>
                <w:spacing w:val="-28"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hint="eastAsia" w:ascii="仿宋" w:hAnsi="仿宋" w:eastAsia="仿宋"/>
                <w:b/>
                <w:spacing w:val="-28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教学学时数（节）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ind w:right="400"/>
              <w:jc w:val="both"/>
              <w:rPr>
                <w:rFonts w:hint="eastAsia" w:ascii="仿宋" w:hAnsi="仿宋" w:eastAsia="仿宋"/>
                <w:b/>
                <w:spacing w:val="-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专题名称</w:t>
            </w:r>
          </w:p>
        </w:tc>
        <w:tc>
          <w:tcPr>
            <w:tcW w:w="8235" w:type="dxa"/>
            <w:gridSpan w:val="8"/>
            <w:noWrap w:val="0"/>
            <w:vAlign w:val="center"/>
          </w:tcPr>
          <w:p>
            <w:pPr>
              <w:ind w:right="400"/>
              <w:jc w:val="both"/>
              <w:rPr>
                <w:rFonts w:hint="eastAsia" w:ascii="仿宋" w:hAnsi="仿宋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专题来源</w:t>
            </w:r>
          </w:p>
        </w:tc>
        <w:tc>
          <w:tcPr>
            <w:tcW w:w="823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教学目标</w:t>
            </w:r>
          </w:p>
        </w:tc>
        <w:tc>
          <w:tcPr>
            <w:tcW w:w="823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专题拟解决的问题</w:t>
            </w:r>
          </w:p>
        </w:tc>
        <w:tc>
          <w:tcPr>
            <w:tcW w:w="823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主要的教学内容：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对课程评价与</w:t>
            </w:r>
            <w:r>
              <w:rPr>
                <w:rFonts w:hint="eastAsia" w:ascii="仿宋" w:hAnsi="仿宋" w:eastAsia="仿宋"/>
                <w:b/>
                <w:sz w:val="24"/>
              </w:rPr>
              <w:t>建议：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主要的优点：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*不足或有待改进之处：</w:t>
            </w: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*综合评价：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4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课题来源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（30分）</w:t>
            </w:r>
          </w:p>
        </w:tc>
        <w:tc>
          <w:tcPr>
            <w:tcW w:w="814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*源于征集学生在企业岗位职务实践学习中产生的问题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*源于征集企业一线导师及企业人力资源部等相关部门的意见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*源于驻企教师深入企业一线发现的问题</w:t>
            </w:r>
          </w:p>
          <w:p>
            <w:pPr>
              <w:jc w:val="both"/>
              <w:rPr>
                <w:rFonts w:hint="default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*驻企教师对上述情况中的共性问题进行梳理而形成授课专题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教学目标（25分）</w:t>
            </w:r>
          </w:p>
        </w:tc>
        <w:tc>
          <w:tcPr>
            <w:tcW w:w="814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*教学目标围绕提升学生专业岗位职务能力而设计</w:t>
            </w:r>
          </w:p>
          <w:p>
            <w:pPr>
              <w:jc w:val="both"/>
              <w:rPr>
                <w:rFonts w:hint="default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*教学目标以问题为导向，具有很强的针对性和适用性</w:t>
            </w:r>
          </w:p>
          <w:p>
            <w:pPr>
              <w:jc w:val="both"/>
              <w:rPr>
                <w:rFonts w:hint="default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*教学目标明晰，合理，达成度较高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教学实施（35分）</w:t>
            </w:r>
          </w:p>
        </w:tc>
        <w:tc>
          <w:tcPr>
            <w:tcW w:w="814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教学内容与学生在专业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不同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职务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岗位实践学习中产生的共性问题紧密相关</w:t>
            </w:r>
          </w:p>
          <w:p>
            <w:pPr>
              <w:jc w:val="both"/>
              <w:rPr>
                <w:rFonts w:hint="default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</w:t>
            </w:r>
            <w:bookmarkStart w:id="0" w:name="_GoBack"/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通过企业职务岗位工作中的真实案例和工作经验，化解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学生职务岗位工作过程中存在的问题，有助于提升学生岗位职务能力</w:t>
            </w:r>
            <w:bookmarkEnd w:id="0"/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*教师个人具有较为丰富的企业职务岗位实践工作经验，逻辑严谨，思路清晰，表述流畅，易于学生学习</w:t>
            </w:r>
          </w:p>
          <w:p>
            <w:pPr>
              <w:jc w:val="both"/>
              <w:rPr>
                <w:rFonts w:hint="default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*教学评价方式灵活动多样，能够充分调动学生的学习积极性</w:t>
            </w:r>
          </w:p>
          <w:p>
            <w:pPr>
              <w:jc w:val="both"/>
              <w:rPr>
                <w:rFonts w:hint="default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*能将企业文化元素有机融入教学中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教学文件</w:t>
            </w:r>
          </w:p>
          <w:p>
            <w:pPr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（10分）</w:t>
            </w:r>
          </w:p>
        </w:tc>
        <w:tc>
          <w:tcPr>
            <w:tcW w:w="8140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</w:t>
            </w:r>
            <w:r>
              <w:rPr>
                <w:rFonts w:hint="default" w:ascii="仿宋" w:hAnsi="仿宋" w:eastAsia="仿宋"/>
                <w:b w:val="0"/>
                <w:bCs/>
                <w:sz w:val="24"/>
                <w:lang w:eastAsia="zh-CN"/>
              </w:rPr>
              <w:t>教师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课前准备充分，</w:t>
            </w:r>
            <w:r>
              <w:rPr>
                <w:rFonts w:hint="default" w:ascii="仿宋" w:hAnsi="仿宋" w:eastAsia="仿宋"/>
                <w:b w:val="0"/>
                <w:bCs/>
                <w:sz w:val="24"/>
                <w:lang w:eastAsia="zh-CN"/>
              </w:rPr>
              <w:t>教学课件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制作精良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教学文件符合学院的要求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评价等级</w:t>
            </w:r>
          </w:p>
        </w:tc>
        <w:tc>
          <w:tcPr>
            <w:tcW w:w="8140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优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良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中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合格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不合格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3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评分要求及标准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根据听课的实际情况，在“评价等级”对应的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中画“√”或“×”。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2.评分标准：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优秀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≥90分;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80分≤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良好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＜90分;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70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中等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60分≤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合格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不合格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＜60分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56"/>
    <w:rsid w:val="00CE3716"/>
    <w:rsid w:val="00F81756"/>
    <w:rsid w:val="162C5C46"/>
    <w:rsid w:val="1BFB2699"/>
    <w:rsid w:val="1D2302B9"/>
    <w:rsid w:val="21453FD6"/>
    <w:rsid w:val="32CB0601"/>
    <w:rsid w:val="3304709D"/>
    <w:rsid w:val="38412880"/>
    <w:rsid w:val="3AAB32F9"/>
    <w:rsid w:val="3C194C5F"/>
    <w:rsid w:val="436F1D71"/>
    <w:rsid w:val="4ADC1A48"/>
    <w:rsid w:val="4BD75B54"/>
    <w:rsid w:val="50F354BA"/>
    <w:rsid w:val="5977790C"/>
    <w:rsid w:val="628A083F"/>
    <w:rsid w:val="6D450C30"/>
    <w:rsid w:val="76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</Words>
  <Characters>68</Characters>
  <Lines>1</Lines>
  <Paragraphs>1</Paragraphs>
  <TotalTime>53</TotalTime>
  <ScaleCrop>false</ScaleCrop>
  <LinksUpToDate>false</LinksUpToDate>
  <CharactersWithSpaces>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2021-09-23T01:55:00Z</dcterms:created>
  <dc:creator>Users</dc:creator>
  <cp:lastModifiedBy>寒鸿1982</cp:lastModifiedBy>
  <cp:lastPrinted>2021-10-19T07:07:00Z</cp:lastPrinted>
  <dcterms:modified xsi:type="dcterms:W3CDTF">2021-10-20T07:36:53Z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4B65FF22CB2D441B84DD20829201BA26</vt:lpwstr>
  </property>
</Properties>
</file>